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5330B" w14:textId="77777777" w:rsidR="004465C6" w:rsidRPr="00105717" w:rsidRDefault="004465C6" w:rsidP="004465C6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</w:pPr>
      <w:bookmarkStart w:id="0" w:name="_Hlk179210056"/>
    </w:p>
    <w:p w14:paraId="4153FA53" w14:textId="77777777" w:rsidR="004465C6" w:rsidRPr="00105717" w:rsidRDefault="004465C6" w:rsidP="004465C6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</w:pPr>
    </w:p>
    <w:p w14:paraId="4DB70703" w14:textId="59EBFE4D" w:rsidR="004465C6" w:rsidRPr="00105717" w:rsidRDefault="004465C6" w:rsidP="004465C6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</w:pPr>
      <w:r w:rsidRPr="00105717"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  <w:t>Metepec, México; a 0</w:t>
      </w:r>
      <w:r w:rsidR="00FE4D7A"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  <w:t>9</w:t>
      </w:r>
      <w:r w:rsidRPr="00105717"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  <w:t xml:space="preserve"> de octubre de 2024</w:t>
      </w:r>
    </w:p>
    <w:p w14:paraId="0194D529" w14:textId="267FAAB0" w:rsidR="004465C6" w:rsidRPr="00105717" w:rsidRDefault="004465C6" w:rsidP="004465C6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0"/>
          <w:szCs w:val="20"/>
        </w:rPr>
      </w:pPr>
      <w:r w:rsidRPr="00105717"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  <w:t xml:space="preserve">Oficio No.: </w:t>
      </w:r>
      <w:r w:rsidRPr="00105717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0"/>
          <w:szCs w:val="20"/>
        </w:rPr>
        <w:t>206B0110000100S/SP/UT/59</w:t>
      </w:r>
      <w:r w:rsidR="001C23EE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0"/>
          <w:szCs w:val="20"/>
        </w:rPr>
        <w:t>2</w:t>
      </w:r>
      <w:r w:rsidRPr="00105717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0"/>
          <w:szCs w:val="20"/>
        </w:rPr>
        <w:t>/2024</w:t>
      </w:r>
    </w:p>
    <w:p w14:paraId="45C23BEB" w14:textId="77777777" w:rsidR="004465C6" w:rsidRPr="00105717" w:rsidRDefault="004465C6" w:rsidP="004465C6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</w:pPr>
    </w:p>
    <w:p w14:paraId="47817ECA" w14:textId="77777777" w:rsidR="004465C6" w:rsidRPr="00105717" w:rsidRDefault="004465C6" w:rsidP="004465C6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</w:pPr>
    </w:p>
    <w:p w14:paraId="4DE9D736" w14:textId="77777777" w:rsidR="004465C6" w:rsidRPr="00A13BB7" w:rsidRDefault="004465C6" w:rsidP="004465C6">
      <w:pPr>
        <w:spacing w:after="0" w:line="240" w:lineRule="atLeast"/>
        <w:ind w:left="-284" w:right="-516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A13BB7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>C. SOLICITANTE</w:t>
      </w:r>
    </w:p>
    <w:p w14:paraId="1EF20591" w14:textId="77777777" w:rsidR="004465C6" w:rsidRPr="00A13BB7" w:rsidRDefault="004465C6" w:rsidP="004465C6">
      <w:pPr>
        <w:spacing w:after="0" w:line="240" w:lineRule="atLeast"/>
        <w:ind w:left="-284" w:right="-516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A13BB7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 xml:space="preserve">P R E S E N T E </w:t>
      </w:r>
    </w:p>
    <w:p w14:paraId="45CC4213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480FA7CC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1BA50F3C" w14:textId="4CECC262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 xml:space="preserve">Con fundamento en lo dispuesto por los artículos 3 fracción XLIV, 46 fracción I, 50 y 51 de la Ley de Transparencia y Acceso a la Información Pública del Estado de México y Municipios; y, 59 de la Ley de Seguridad del Estado de México, el Secretariado Ejecutivo, órgano desconcentrado de la Secretaría de Seguridad del Estado de México, en atención a su solicitud de información </w:t>
      </w:r>
      <w:r w:rsidRPr="00105717">
        <w:rPr>
          <w:rFonts w:ascii="Gotham" w:hAnsi="Gotham"/>
          <w:b/>
          <w:sz w:val="20"/>
          <w:szCs w:val="20"/>
        </w:rPr>
        <w:t>0016</w:t>
      </w:r>
      <w:r w:rsidR="00AD3FF7">
        <w:rPr>
          <w:rFonts w:ascii="Gotham" w:hAnsi="Gotham"/>
          <w:b/>
          <w:sz w:val="20"/>
          <w:szCs w:val="20"/>
        </w:rPr>
        <w:t>3</w:t>
      </w:r>
      <w:r w:rsidRPr="00105717">
        <w:rPr>
          <w:rFonts w:ascii="Gotham" w:hAnsi="Gotham"/>
          <w:b/>
          <w:sz w:val="20"/>
          <w:szCs w:val="20"/>
        </w:rPr>
        <w:t>/SESESP/IP/2024</w:t>
      </w:r>
      <w:r w:rsidRPr="00105717">
        <w:rPr>
          <w:rFonts w:ascii="Gotham" w:hAnsi="Gotham"/>
          <w:bCs/>
          <w:sz w:val="20"/>
          <w:szCs w:val="20"/>
        </w:rPr>
        <w:t>, recibida y registrada en el Sistema de Acceso a la Información Mexiquense (SAIMEX) de este Sujeto Obligado, el 07 de octubre de 2024, que a la letra dice:</w:t>
      </w:r>
    </w:p>
    <w:p w14:paraId="26462746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5D149C7A" w14:textId="43E94392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i/>
          <w:iCs/>
          <w:sz w:val="20"/>
          <w:szCs w:val="20"/>
        </w:rPr>
        <w:t>“</w:t>
      </w:r>
      <w:r w:rsidR="00AD3FF7" w:rsidRPr="00AD3FF7">
        <w:rPr>
          <w:rFonts w:ascii="Gotham" w:hAnsi="Gotham"/>
          <w:bCs/>
          <w:i/>
          <w:iCs/>
          <w:sz w:val="20"/>
          <w:szCs w:val="20"/>
        </w:rPr>
        <w:t>Solicito información sobre los incidentes de uso de la fuerza registrados por la policía estatal del estado de México incluyendo aquellos relacionados con el uso de armas letales y no letales, durante el primer semestre de 2024. Favor de incluir los informes detallados de cada incidente y las medidas adoptadas en cada caso.</w:t>
      </w:r>
      <w:r w:rsidRPr="00105717">
        <w:rPr>
          <w:rFonts w:ascii="Gotham" w:hAnsi="Gotham"/>
          <w:bCs/>
          <w:i/>
          <w:iCs/>
          <w:sz w:val="20"/>
          <w:szCs w:val="20"/>
        </w:rPr>
        <w:t xml:space="preserve">” 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>(sic)</w:t>
      </w:r>
    </w:p>
    <w:p w14:paraId="7AC3CFF4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450DC976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/>
          <w:sz w:val="20"/>
          <w:szCs w:val="20"/>
        </w:rPr>
      </w:pPr>
      <w:r w:rsidRPr="00105717">
        <w:rPr>
          <w:rFonts w:ascii="Gotham" w:hAnsi="Gotham"/>
          <w:b/>
          <w:sz w:val="20"/>
          <w:szCs w:val="20"/>
        </w:rPr>
        <w:t>Competencia:</w:t>
      </w:r>
    </w:p>
    <w:p w14:paraId="3CF69D97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5C088F02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 xml:space="preserve">Al respecto, con fundamento en los artículos 1, 4, 53 fracción II y 167 de la Ley de Transparencia y Acceso a la Información Pública del Estado de México y Municipios; 61 de la Ley de Seguridad del Estado de México; 9 y 10 del Reglamento Interior del Secretariado Ejecutivo del Sistema Estatal de Seguridad Pública, me permito informar a Usted, que este Sujeto Obligado es </w:t>
      </w:r>
      <w:r w:rsidRPr="00105717">
        <w:rPr>
          <w:rFonts w:ascii="Gotham" w:hAnsi="Gotham"/>
          <w:b/>
          <w:sz w:val="20"/>
          <w:szCs w:val="20"/>
        </w:rPr>
        <w:t>incompetente</w:t>
      </w:r>
      <w:r w:rsidRPr="00105717">
        <w:rPr>
          <w:rFonts w:ascii="Gotham" w:hAnsi="Gotham"/>
          <w:bCs/>
          <w:sz w:val="20"/>
          <w:szCs w:val="20"/>
        </w:rPr>
        <w:t xml:space="preserve"> para dar respuesta a su solicitud, como se expondrá de manera fundada.</w:t>
      </w:r>
    </w:p>
    <w:p w14:paraId="4F6321CF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2914D320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sz w:val="20"/>
          <w:szCs w:val="20"/>
        </w:rPr>
      </w:pPr>
      <w:r w:rsidRPr="00105717">
        <w:rPr>
          <w:rFonts w:ascii="Gotham" w:hAnsi="Gotham"/>
          <w:b/>
          <w:bCs/>
          <w:sz w:val="20"/>
          <w:szCs w:val="20"/>
        </w:rPr>
        <w:t>Fundamentación y Motivación:</w:t>
      </w:r>
    </w:p>
    <w:p w14:paraId="1EF42CB2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sz w:val="20"/>
          <w:szCs w:val="20"/>
        </w:rPr>
      </w:pPr>
    </w:p>
    <w:p w14:paraId="186379BD" w14:textId="77777777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b/>
          <w:i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“Artículo 167</w:t>
      </w:r>
      <w:r w:rsidRPr="00105717">
        <w:rPr>
          <w:rFonts w:ascii="Gotham" w:hAnsi="Gotham"/>
          <w:i/>
          <w:iCs/>
          <w:sz w:val="20"/>
          <w:szCs w:val="20"/>
        </w:rPr>
        <w:t xml:space="preserve">. Cuando las unidades de transparencia determinen la 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>notoria incompetencia</w:t>
      </w:r>
      <w:r w:rsidRPr="00105717">
        <w:rPr>
          <w:rFonts w:ascii="Gotham" w:hAnsi="Gotham"/>
          <w:i/>
          <w:iCs/>
          <w:sz w:val="20"/>
          <w:szCs w:val="20"/>
        </w:rPr>
        <w:t xml:space="preserve"> por parte de los sujetos obligados, dentro del ámbito de aplicación, para atender la solicitud de acceso a la información, 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 xml:space="preserve">deberán comunicarlo al solicitante, dentro de los tres días hábiles posteriores a la recepción de la solicitud </w:t>
      </w:r>
      <w:r w:rsidRPr="00105717">
        <w:rPr>
          <w:rFonts w:ascii="Gotham" w:hAnsi="Gotham"/>
          <w:i/>
          <w:iCs/>
          <w:sz w:val="20"/>
          <w:szCs w:val="20"/>
        </w:rPr>
        <w:t>y, en su caso orientar al solicitante, el o los sujetos obligados competentes.”</w:t>
      </w:r>
      <w:r w:rsidRPr="00105717">
        <w:rPr>
          <w:rFonts w:ascii="Gotham" w:hAnsi="Gotham"/>
          <w:b/>
          <w:i/>
          <w:sz w:val="20"/>
          <w:szCs w:val="20"/>
        </w:rPr>
        <w:t xml:space="preserve"> (énfasis añadido)</w:t>
      </w:r>
    </w:p>
    <w:p w14:paraId="3B420FAB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705FDBF3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sz w:val="20"/>
          <w:szCs w:val="20"/>
        </w:rPr>
      </w:pPr>
      <w:r w:rsidRPr="00105717">
        <w:rPr>
          <w:rFonts w:ascii="Gotham" w:hAnsi="Gotham"/>
          <w:sz w:val="20"/>
          <w:szCs w:val="20"/>
        </w:rPr>
        <w:t>También el criterio número 13/17 del Instituto Nacional de Transparencia y Acceso a la Información y Protección de Datos Personales (INAI), permite ampliar la interpretación de esta disposición de la materia:</w:t>
      </w:r>
    </w:p>
    <w:p w14:paraId="2885E866" w14:textId="77777777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lastRenderedPageBreak/>
        <w:t xml:space="preserve">“Incompetencia. </w:t>
      </w:r>
      <w:r w:rsidRPr="00105717">
        <w:rPr>
          <w:rFonts w:ascii="Gotham" w:hAnsi="Gotham"/>
          <w:i/>
          <w:iCs/>
          <w:sz w:val="20"/>
          <w:szCs w:val="20"/>
        </w:rPr>
        <w:t xml:space="preserve">La incompetencia implica la ausencia de atribuciones del sujeto obligado para poseer la información solicitada; es decir, se trata de una cuestión de derecho, en tanto que 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>no existan facultades para contar con lo requerido</w:t>
      </w:r>
      <w:r w:rsidRPr="00105717">
        <w:rPr>
          <w:rFonts w:ascii="Gotham" w:hAnsi="Gotham"/>
          <w:i/>
          <w:iCs/>
          <w:sz w:val="20"/>
          <w:szCs w:val="20"/>
        </w:rPr>
        <w:t>; por lo que la incompetencia es una cualidad atribuida al sujeto obligado que la declara.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 xml:space="preserve"> </w:t>
      </w:r>
    </w:p>
    <w:p w14:paraId="343152EB" w14:textId="77777777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6346CE3F" w14:textId="77777777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 xml:space="preserve">Resoluciones: </w:t>
      </w:r>
    </w:p>
    <w:p w14:paraId="2E632EAA" w14:textId="77777777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2E01F930" w14:textId="77777777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• RRA 4437/16.</w:t>
      </w:r>
      <w:r w:rsidRPr="00105717">
        <w:rPr>
          <w:rFonts w:ascii="Gotham" w:hAnsi="Gotham"/>
          <w:i/>
          <w:iCs/>
          <w:sz w:val="20"/>
          <w:szCs w:val="20"/>
        </w:rPr>
        <w:t xml:space="preserve"> Secretaría de Hacienda y Crédito Público. 25 de enero de 2017. Por unanimidad. Comisionada Ponente Ximena Puente de la Mora.</w:t>
      </w:r>
    </w:p>
    <w:p w14:paraId="1CC18094" w14:textId="77777777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• RRA 4401/16</w:t>
      </w:r>
      <w:r w:rsidRPr="00105717">
        <w:rPr>
          <w:rFonts w:ascii="Gotham" w:hAnsi="Gotham"/>
          <w:i/>
          <w:iCs/>
          <w:sz w:val="20"/>
          <w:szCs w:val="20"/>
        </w:rPr>
        <w:t xml:space="preserve">. Secretaría de Medio Ambiente y Recursos Naturales. 01 de febrero de 2017. Por unanimidad. Comisionado Ponente </w:t>
      </w:r>
      <w:proofErr w:type="spellStart"/>
      <w:r w:rsidRPr="00105717">
        <w:rPr>
          <w:rFonts w:ascii="Gotham" w:hAnsi="Gotham"/>
          <w:i/>
          <w:iCs/>
          <w:sz w:val="20"/>
          <w:szCs w:val="20"/>
        </w:rPr>
        <w:t>Rosendoevgueni</w:t>
      </w:r>
      <w:proofErr w:type="spellEnd"/>
      <w:r w:rsidRPr="00105717">
        <w:rPr>
          <w:rFonts w:ascii="Gotham" w:hAnsi="Gotham"/>
          <w:i/>
          <w:iCs/>
          <w:sz w:val="20"/>
          <w:szCs w:val="20"/>
        </w:rPr>
        <w:t xml:space="preserve"> Monterrey </w:t>
      </w:r>
      <w:proofErr w:type="spellStart"/>
      <w:r w:rsidRPr="00105717">
        <w:rPr>
          <w:rFonts w:ascii="Gotham" w:hAnsi="Gotham"/>
          <w:i/>
          <w:iCs/>
          <w:sz w:val="20"/>
          <w:szCs w:val="20"/>
        </w:rPr>
        <w:t>Chepov</w:t>
      </w:r>
      <w:proofErr w:type="spellEnd"/>
      <w:r w:rsidRPr="00105717">
        <w:rPr>
          <w:rFonts w:ascii="Gotham" w:hAnsi="Gotham"/>
          <w:i/>
          <w:iCs/>
          <w:sz w:val="20"/>
          <w:szCs w:val="20"/>
        </w:rPr>
        <w:t xml:space="preserve">. </w:t>
      </w:r>
    </w:p>
    <w:p w14:paraId="466E74F3" w14:textId="77777777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• RRA 0539/17.</w:t>
      </w:r>
      <w:r w:rsidRPr="00105717">
        <w:rPr>
          <w:rFonts w:ascii="Gotham" w:hAnsi="Gotham"/>
          <w:i/>
          <w:iCs/>
          <w:sz w:val="20"/>
          <w:szCs w:val="20"/>
        </w:rPr>
        <w:t xml:space="preserve"> Secretaría de Economía. 01 de marzo de 2017. Por unanimidad. Comisionado Ponente Joel Salas Suárez.” </w:t>
      </w:r>
      <w:r w:rsidRPr="00105717">
        <w:rPr>
          <w:rFonts w:ascii="Gotham" w:hAnsi="Gotham"/>
          <w:b/>
          <w:i/>
          <w:sz w:val="20"/>
          <w:szCs w:val="20"/>
        </w:rPr>
        <w:t>(énfasis añadido)</w:t>
      </w:r>
    </w:p>
    <w:p w14:paraId="1689572F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sz w:val="20"/>
          <w:szCs w:val="20"/>
        </w:rPr>
      </w:pPr>
    </w:p>
    <w:p w14:paraId="2DE275CD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sz w:val="20"/>
          <w:szCs w:val="20"/>
        </w:rPr>
      </w:pPr>
      <w:r w:rsidRPr="00105717">
        <w:rPr>
          <w:rFonts w:ascii="Gotham" w:hAnsi="Gotham"/>
          <w:sz w:val="20"/>
          <w:szCs w:val="20"/>
        </w:rPr>
        <w:t>Así como el artículo 143 de la Constitución Política del Estado Libre y Soberano de México, que a la letra señala:</w:t>
      </w:r>
    </w:p>
    <w:p w14:paraId="63CDF723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sz w:val="20"/>
          <w:szCs w:val="20"/>
        </w:rPr>
      </w:pPr>
    </w:p>
    <w:p w14:paraId="6F8EE65C" w14:textId="77777777" w:rsidR="004465C6" w:rsidRPr="00105717" w:rsidRDefault="004465C6" w:rsidP="004465C6">
      <w:pPr>
        <w:spacing w:after="0" w:line="240" w:lineRule="atLeast"/>
        <w:ind w:left="567" w:right="335"/>
        <w:jc w:val="both"/>
        <w:rPr>
          <w:rFonts w:ascii="Gotham" w:hAnsi="Gotham"/>
          <w:b/>
          <w:i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“Artículo 143.-</w:t>
      </w:r>
      <w:r w:rsidRPr="00105717">
        <w:rPr>
          <w:rFonts w:ascii="Gotham" w:hAnsi="Gotham"/>
          <w:i/>
          <w:iCs/>
          <w:sz w:val="20"/>
          <w:szCs w:val="20"/>
        </w:rPr>
        <w:t xml:space="preserve"> 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>Las autoridades del Estado sólo tienen las facultades que expresamente les confieren las leyes y otros ordenamientos jurídicos.”</w:t>
      </w:r>
      <w:r w:rsidRPr="00105717">
        <w:rPr>
          <w:rFonts w:ascii="Gotham" w:hAnsi="Gotham"/>
          <w:b/>
          <w:i/>
          <w:sz w:val="20"/>
          <w:szCs w:val="20"/>
        </w:rPr>
        <w:t xml:space="preserve"> (énfasis añadido)</w:t>
      </w:r>
    </w:p>
    <w:p w14:paraId="58283FCC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1B245000" w14:textId="4C2EB1C8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iCs/>
          <w:sz w:val="20"/>
          <w:szCs w:val="20"/>
        </w:rPr>
        <w:t>Una vez analizada su solicitud de información, y derivado del oficio 206B0111000100L/DGCIE/22</w:t>
      </w:r>
      <w:r w:rsidR="008E4705">
        <w:rPr>
          <w:rFonts w:ascii="Gotham" w:hAnsi="Gotham"/>
          <w:bCs/>
          <w:iCs/>
          <w:sz w:val="20"/>
          <w:szCs w:val="20"/>
        </w:rPr>
        <w:t>2</w:t>
      </w:r>
      <w:r w:rsidRPr="00105717">
        <w:rPr>
          <w:rFonts w:ascii="Gotham" w:hAnsi="Gotham"/>
          <w:bCs/>
          <w:iCs/>
          <w:sz w:val="20"/>
          <w:szCs w:val="20"/>
        </w:rPr>
        <w:t xml:space="preserve">/2024, signado por la Encargada del Despacho de la Dirección General del Centro de Información y Estadística, y Servidora Pública Habilitada; este Sujeto Obligado </w:t>
      </w:r>
      <w:r w:rsidRPr="00105717">
        <w:rPr>
          <w:rFonts w:ascii="Gotham" w:hAnsi="Gotham"/>
          <w:bCs/>
          <w:sz w:val="20"/>
          <w:szCs w:val="20"/>
        </w:rPr>
        <w:t xml:space="preserve">es </w:t>
      </w:r>
      <w:r w:rsidRPr="00105717">
        <w:rPr>
          <w:rFonts w:ascii="Gotham" w:hAnsi="Gotham"/>
          <w:b/>
          <w:bCs/>
          <w:sz w:val="20"/>
          <w:szCs w:val="20"/>
        </w:rPr>
        <w:t>incompetente</w:t>
      </w:r>
      <w:r w:rsidRPr="00105717">
        <w:rPr>
          <w:rFonts w:ascii="Gotham" w:hAnsi="Gotham"/>
          <w:bCs/>
          <w:sz w:val="20"/>
          <w:szCs w:val="20"/>
        </w:rPr>
        <w:t xml:space="preserve"> para atender su solicitud de información.</w:t>
      </w:r>
    </w:p>
    <w:p w14:paraId="5B1DD023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21C6BB23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 xml:space="preserve">Lo anterior, con fundamento en los artículos 59, 61 y 63 de la Ley de Seguridad del Estado de México; 9 y 10 del Reglamento Interior del Secretariado Ejecutivo del Sistema Estatal de Seguridad Pública; y, al Manual General de Organización del Secretariado Ejecutivo del Sistema Estatal de Seguridad Pública, </w:t>
      </w:r>
      <w:r w:rsidRPr="00105717">
        <w:rPr>
          <w:rFonts w:ascii="Gotham" w:hAnsi="Gotham"/>
          <w:b/>
          <w:sz w:val="20"/>
          <w:szCs w:val="20"/>
        </w:rPr>
        <w:t>los cuales disponen las atribuciones y funciones de la Dirección General del Centro de Información y Estadística</w:t>
      </w:r>
      <w:r w:rsidRPr="00105717">
        <w:rPr>
          <w:rFonts w:ascii="Gotham" w:hAnsi="Gotham"/>
          <w:bCs/>
          <w:sz w:val="20"/>
          <w:szCs w:val="20"/>
        </w:rPr>
        <w:t xml:space="preserve"> del Secretariado Ejecutivo del Sistema Estatal de Seguridad Pública.</w:t>
      </w:r>
    </w:p>
    <w:p w14:paraId="6006012F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61684F40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>Por lo tanto, se cita el fundamento de la Instancia generadora de la información solicitada, que pudieran proporcionarle más información:</w:t>
      </w:r>
    </w:p>
    <w:p w14:paraId="79B528A8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47A31956" w14:textId="7CECE1D4" w:rsidR="004465C6" w:rsidRDefault="00B11AA9" w:rsidP="00B11AA9">
      <w:pPr>
        <w:spacing w:after="0" w:line="240" w:lineRule="atLeast"/>
        <w:ind w:left="-284" w:right="-516"/>
        <w:jc w:val="center"/>
        <w:rPr>
          <w:rFonts w:ascii="Gotham" w:hAnsi="Gotham"/>
          <w:b/>
          <w:i/>
          <w:iCs/>
          <w:sz w:val="20"/>
          <w:szCs w:val="20"/>
        </w:rPr>
      </w:pPr>
      <w:r w:rsidRPr="00B11AA9">
        <w:rPr>
          <w:rFonts w:ascii="Gotham" w:hAnsi="Gotham"/>
          <w:b/>
          <w:i/>
          <w:iCs/>
          <w:sz w:val="20"/>
          <w:szCs w:val="20"/>
        </w:rPr>
        <w:t xml:space="preserve">Reglamento Interior de la Secretaría </w:t>
      </w:r>
      <w:r>
        <w:rPr>
          <w:rFonts w:ascii="Gotham" w:hAnsi="Gotham"/>
          <w:b/>
          <w:i/>
          <w:iCs/>
          <w:sz w:val="20"/>
          <w:szCs w:val="20"/>
        </w:rPr>
        <w:t>d</w:t>
      </w:r>
      <w:r w:rsidRPr="00B11AA9">
        <w:rPr>
          <w:rFonts w:ascii="Gotham" w:hAnsi="Gotham"/>
          <w:b/>
          <w:i/>
          <w:iCs/>
          <w:sz w:val="20"/>
          <w:szCs w:val="20"/>
        </w:rPr>
        <w:t>e Seguridad</w:t>
      </w:r>
    </w:p>
    <w:p w14:paraId="754C6CC5" w14:textId="77777777" w:rsidR="00B11AA9" w:rsidRPr="00105717" w:rsidRDefault="00B11AA9" w:rsidP="00B11AA9">
      <w:pPr>
        <w:spacing w:after="0" w:line="240" w:lineRule="atLeast"/>
        <w:ind w:left="-284" w:right="-516"/>
        <w:jc w:val="center"/>
        <w:rPr>
          <w:rFonts w:ascii="Gotham" w:hAnsi="Gotham"/>
          <w:bCs/>
          <w:i/>
          <w:iCs/>
          <w:sz w:val="20"/>
          <w:szCs w:val="20"/>
        </w:rPr>
      </w:pPr>
    </w:p>
    <w:p w14:paraId="422348FB" w14:textId="1B047810" w:rsidR="004465C6" w:rsidRDefault="00B11AA9" w:rsidP="004465C6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</w:rPr>
      </w:pPr>
      <w:r>
        <w:rPr>
          <w:rFonts w:ascii="Gotham" w:hAnsi="Gotham"/>
          <w:b/>
          <w:bCs/>
          <w:i/>
          <w:sz w:val="20"/>
          <w:szCs w:val="20"/>
        </w:rPr>
        <w:t>“</w:t>
      </w:r>
      <w:r w:rsidR="008E4705" w:rsidRPr="008E4705">
        <w:rPr>
          <w:rFonts w:ascii="Gotham" w:hAnsi="Gotham"/>
          <w:b/>
          <w:bCs/>
          <w:i/>
          <w:sz w:val="20"/>
          <w:szCs w:val="20"/>
        </w:rPr>
        <w:t xml:space="preserve">Artículo 7. </w:t>
      </w:r>
      <w:r w:rsidR="008E4705" w:rsidRPr="008E4705">
        <w:rPr>
          <w:rFonts w:ascii="Gotham" w:hAnsi="Gotham"/>
          <w:i/>
          <w:sz w:val="20"/>
          <w:szCs w:val="20"/>
        </w:rPr>
        <w:t>Para el estudio, planeación y despacho de los asuntos de su competencia, así como para atender las funciones de control y evaluación que le corresponden, la persona titular de la Secretaría se auxiliará de las unidades administrativas siguientes:</w:t>
      </w:r>
    </w:p>
    <w:p w14:paraId="60F0EE13" w14:textId="77777777" w:rsidR="008E4705" w:rsidRDefault="008E4705" w:rsidP="004465C6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</w:rPr>
      </w:pPr>
      <w:r w:rsidRPr="008E4705">
        <w:rPr>
          <w:rFonts w:ascii="Gotham" w:hAnsi="Gotham"/>
          <w:b/>
          <w:bCs/>
          <w:i/>
          <w:sz w:val="20"/>
          <w:szCs w:val="20"/>
        </w:rPr>
        <w:lastRenderedPageBreak/>
        <w:t xml:space="preserve">II. Subsecretaría de Policía Estatal; </w:t>
      </w:r>
    </w:p>
    <w:p w14:paraId="275CC282" w14:textId="2C9EBE22" w:rsidR="008E4705" w:rsidRPr="008E4705" w:rsidRDefault="008E4705" w:rsidP="004465C6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</w:rPr>
      </w:pPr>
      <w:r w:rsidRPr="008E4705">
        <w:rPr>
          <w:rFonts w:ascii="Gotham" w:hAnsi="Gotham"/>
          <w:b/>
          <w:bCs/>
          <w:i/>
          <w:sz w:val="20"/>
          <w:szCs w:val="20"/>
        </w:rPr>
        <w:t xml:space="preserve">a. </w:t>
      </w:r>
      <w:r w:rsidRPr="008E4705">
        <w:rPr>
          <w:rFonts w:ascii="Gotham" w:hAnsi="Gotham"/>
          <w:i/>
          <w:sz w:val="20"/>
          <w:szCs w:val="20"/>
        </w:rPr>
        <w:t xml:space="preserve">Dirección General del Centro Estatal de Medidas Cautelares; </w:t>
      </w:r>
    </w:p>
    <w:p w14:paraId="54B0C11B" w14:textId="77777777" w:rsidR="008E4705" w:rsidRPr="008E4705" w:rsidRDefault="008E4705" w:rsidP="004465C6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</w:rPr>
      </w:pPr>
      <w:r w:rsidRPr="008E4705">
        <w:rPr>
          <w:rFonts w:ascii="Gotham" w:hAnsi="Gotham"/>
          <w:b/>
          <w:bCs/>
          <w:i/>
          <w:sz w:val="20"/>
          <w:szCs w:val="20"/>
        </w:rPr>
        <w:t xml:space="preserve">b. </w:t>
      </w:r>
      <w:r w:rsidRPr="008E4705">
        <w:rPr>
          <w:rFonts w:ascii="Gotham" w:hAnsi="Gotham"/>
          <w:i/>
          <w:sz w:val="20"/>
          <w:szCs w:val="20"/>
        </w:rPr>
        <w:t xml:space="preserve">Dirección General de Combate al Robo de Vehículos y Transporte; </w:t>
      </w:r>
    </w:p>
    <w:p w14:paraId="70B912E2" w14:textId="77777777" w:rsidR="008E4705" w:rsidRPr="008E4705" w:rsidRDefault="008E4705" w:rsidP="004465C6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</w:rPr>
      </w:pPr>
      <w:r w:rsidRPr="008E4705">
        <w:rPr>
          <w:rFonts w:ascii="Gotham" w:hAnsi="Gotham"/>
          <w:b/>
          <w:bCs/>
          <w:i/>
          <w:sz w:val="20"/>
          <w:szCs w:val="20"/>
        </w:rPr>
        <w:t xml:space="preserve">c. </w:t>
      </w:r>
      <w:r w:rsidRPr="008E4705">
        <w:rPr>
          <w:rFonts w:ascii="Gotham" w:hAnsi="Gotham"/>
          <w:i/>
          <w:sz w:val="20"/>
          <w:szCs w:val="20"/>
        </w:rPr>
        <w:t xml:space="preserve">Dirección General de Seguridad Pública y Tránsito; </w:t>
      </w:r>
    </w:p>
    <w:p w14:paraId="0286C042" w14:textId="77777777" w:rsidR="008E4705" w:rsidRDefault="008E4705" w:rsidP="004465C6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</w:rPr>
      </w:pPr>
      <w:r w:rsidRPr="008E4705">
        <w:rPr>
          <w:rFonts w:ascii="Gotham" w:hAnsi="Gotham"/>
          <w:b/>
          <w:bCs/>
          <w:i/>
          <w:sz w:val="20"/>
          <w:szCs w:val="20"/>
        </w:rPr>
        <w:t xml:space="preserve">d. </w:t>
      </w:r>
      <w:r w:rsidRPr="008E4705">
        <w:rPr>
          <w:rFonts w:ascii="Gotham" w:hAnsi="Gotham"/>
          <w:i/>
          <w:sz w:val="20"/>
          <w:szCs w:val="20"/>
        </w:rPr>
        <w:t>Dirección General de Policía de Género, y</w:t>
      </w:r>
      <w:r w:rsidRPr="008E4705">
        <w:rPr>
          <w:rFonts w:ascii="Gotham" w:hAnsi="Gotham"/>
          <w:b/>
          <w:bCs/>
          <w:i/>
          <w:sz w:val="20"/>
          <w:szCs w:val="20"/>
        </w:rPr>
        <w:t xml:space="preserve"> </w:t>
      </w:r>
    </w:p>
    <w:p w14:paraId="16F38DA7" w14:textId="5EFA6A03" w:rsidR="008E4705" w:rsidRDefault="008E4705" w:rsidP="004465C6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  <w:lang w:val="es-ES"/>
        </w:rPr>
      </w:pPr>
      <w:r w:rsidRPr="008E4705">
        <w:rPr>
          <w:rFonts w:ascii="Gotham" w:hAnsi="Gotham"/>
          <w:b/>
          <w:bCs/>
          <w:i/>
          <w:sz w:val="20"/>
          <w:szCs w:val="20"/>
        </w:rPr>
        <w:t xml:space="preserve">e. </w:t>
      </w:r>
      <w:r w:rsidRPr="008E4705">
        <w:rPr>
          <w:rFonts w:ascii="Gotham" w:hAnsi="Gotham"/>
          <w:i/>
          <w:sz w:val="20"/>
          <w:szCs w:val="20"/>
        </w:rPr>
        <w:t>Coordinación de Grupos Tácticos;</w:t>
      </w:r>
      <w:r w:rsidR="00B11AA9">
        <w:rPr>
          <w:rFonts w:ascii="Gotham" w:hAnsi="Gotham"/>
          <w:i/>
          <w:sz w:val="20"/>
          <w:szCs w:val="20"/>
        </w:rPr>
        <w:t>”</w:t>
      </w:r>
      <w:r w:rsidR="00B11AA9" w:rsidRPr="00B11AA9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 xml:space="preserve"> </w:t>
      </w:r>
      <w:r w:rsidR="00B11AA9" w:rsidRPr="00105717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>(énfasis añadido)</w:t>
      </w:r>
    </w:p>
    <w:p w14:paraId="2BD16C96" w14:textId="77777777" w:rsidR="008E4705" w:rsidRDefault="008E4705" w:rsidP="004465C6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  <w:lang w:val="es-ES"/>
        </w:rPr>
      </w:pPr>
    </w:p>
    <w:p w14:paraId="5E454CED" w14:textId="48B97EE7" w:rsidR="000E7975" w:rsidRDefault="00B11AA9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>
        <w:rPr>
          <w:rFonts w:ascii="Gotham" w:hAnsi="Gotham"/>
          <w:b/>
          <w:bCs/>
          <w:i/>
          <w:sz w:val="20"/>
          <w:szCs w:val="20"/>
          <w:lang w:val="es-ES"/>
        </w:rPr>
        <w:t>“</w:t>
      </w:r>
      <w:r w:rsidR="000E7975" w:rsidRPr="000E7975">
        <w:rPr>
          <w:rFonts w:ascii="Gotham" w:hAnsi="Gotham"/>
          <w:b/>
          <w:bCs/>
          <w:i/>
          <w:sz w:val="20"/>
          <w:szCs w:val="20"/>
          <w:lang w:val="es-ES"/>
        </w:rPr>
        <w:t xml:space="preserve">Artículo 22. </w:t>
      </w:r>
      <w:r w:rsidR="000E7975" w:rsidRPr="000E7975">
        <w:rPr>
          <w:rFonts w:ascii="Gotham" w:hAnsi="Gotham"/>
          <w:i/>
          <w:sz w:val="20"/>
          <w:szCs w:val="20"/>
          <w:lang w:val="es-ES"/>
        </w:rPr>
        <w:t xml:space="preserve">Corresponden a la </w:t>
      </w:r>
      <w:r w:rsidR="000E7975" w:rsidRPr="000E7975">
        <w:rPr>
          <w:rFonts w:ascii="Gotham" w:hAnsi="Gotham"/>
          <w:b/>
          <w:bCs/>
          <w:i/>
          <w:sz w:val="20"/>
          <w:szCs w:val="20"/>
          <w:lang w:val="es-ES"/>
        </w:rPr>
        <w:t>Subsecretaría de Policía Estatal</w:t>
      </w:r>
      <w:r w:rsidR="000E7975" w:rsidRPr="000E7975">
        <w:rPr>
          <w:rFonts w:ascii="Gotham" w:hAnsi="Gotham"/>
          <w:i/>
          <w:sz w:val="20"/>
          <w:szCs w:val="20"/>
          <w:lang w:val="es-ES"/>
        </w:rPr>
        <w:t xml:space="preserve"> las atribuciones siguientes:</w:t>
      </w:r>
    </w:p>
    <w:p w14:paraId="2CCF1398" w14:textId="77777777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0B79D956" w14:textId="7DC87604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0E7975">
        <w:rPr>
          <w:rFonts w:ascii="Gotham" w:hAnsi="Gotham"/>
          <w:b/>
          <w:bCs/>
          <w:i/>
          <w:sz w:val="20"/>
          <w:szCs w:val="20"/>
          <w:lang w:val="es-ES"/>
        </w:rPr>
        <w:t xml:space="preserve">I. </w:t>
      </w:r>
      <w:r w:rsidRPr="000E7975">
        <w:rPr>
          <w:rFonts w:ascii="Gotham" w:hAnsi="Gotham"/>
          <w:i/>
          <w:sz w:val="20"/>
          <w:szCs w:val="20"/>
          <w:lang w:val="es-ES"/>
        </w:rPr>
        <w:t>Planear, programar, dirigir, controlar y evaluar las atribuciones de seguridad pública, prevención del delito y policía de género;</w:t>
      </w:r>
    </w:p>
    <w:p w14:paraId="25569E8A" w14:textId="77777777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1FE89463" w14:textId="3BEB20D6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0E7975">
        <w:rPr>
          <w:rFonts w:ascii="Gotham" w:hAnsi="Gotham"/>
          <w:b/>
          <w:bCs/>
          <w:i/>
          <w:sz w:val="20"/>
          <w:szCs w:val="20"/>
          <w:lang w:val="es-ES"/>
        </w:rPr>
        <w:t xml:space="preserve">II. </w:t>
      </w:r>
      <w:r w:rsidRPr="000E7975">
        <w:rPr>
          <w:rFonts w:ascii="Gotham" w:hAnsi="Gotham"/>
          <w:i/>
          <w:sz w:val="20"/>
          <w:szCs w:val="20"/>
          <w:lang w:val="es-ES"/>
        </w:rPr>
        <w:t>Impulsar las acciones tendientes a la prevención de la comisión de delitos, así como la atención y prevención de situaciones de violencia en contra de las mujeres en el territorio estatal;</w:t>
      </w:r>
    </w:p>
    <w:p w14:paraId="18209EA2" w14:textId="77777777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  <w:lang w:val="es-ES"/>
        </w:rPr>
      </w:pPr>
    </w:p>
    <w:p w14:paraId="3BBEBDEB" w14:textId="797FB80E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  <w:lang w:val="es-ES"/>
        </w:rPr>
      </w:pPr>
      <w:r w:rsidRPr="000E7975">
        <w:rPr>
          <w:rFonts w:ascii="Gotham" w:hAnsi="Gotham"/>
          <w:b/>
          <w:bCs/>
          <w:i/>
          <w:sz w:val="20"/>
          <w:szCs w:val="20"/>
          <w:lang w:val="es-ES"/>
        </w:rPr>
        <w:t xml:space="preserve">III. </w:t>
      </w:r>
      <w:r w:rsidRPr="000E7975">
        <w:rPr>
          <w:rFonts w:ascii="Gotham" w:hAnsi="Gotham"/>
          <w:i/>
          <w:sz w:val="20"/>
          <w:szCs w:val="20"/>
          <w:lang w:val="es-ES"/>
        </w:rPr>
        <w:t>Proteger la libertad, integridad y derechos humanos de las personas, así como sus bienes, con estricto apego a los principios constitucionales de actuación policial y con perspectiva de género;</w:t>
      </w:r>
    </w:p>
    <w:p w14:paraId="5BD2601A" w14:textId="77777777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  <w:lang w:val="es-ES"/>
        </w:rPr>
      </w:pPr>
    </w:p>
    <w:p w14:paraId="126FD381" w14:textId="14C6324C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0E7975">
        <w:rPr>
          <w:rFonts w:ascii="Gotham" w:hAnsi="Gotham"/>
          <w:b/>
          <w:bCs/>
          <w:i/>
          <w:sz w:val="20"/>
          <w:szCs w:val="20"/>
          <w:lang w:val="es-ES"/>
        </w:rPr>
        <w:t xml:space="preserve">IV. </w:t>
      </w:r>
      <w:r w:rsidRPr="000E7975">
        <w:rPr>
          <w:rFonts w:ascii="Gotham" w:hAnsi="Gotham"/>
          <w:i/>
          <w:sz w:val="20"/>
          <w:szCs w:val="20"/>
          <w:lang w:val="es-ES"/>
        </w:rPr>
        <w:t>Proponer a la persona Titular de la Secretaría la celebración de convenios con instituciones públicas federales, estatales o locales y el sector social y privado respecto de los asuntos que tengan a su cargo y, designar a la persona servidora pública que fungirá como enlace para el cumplimiento de las obligaciones contraídas;</w:t>
      </w:r>
    </w:p>
    <w:p w14:paraId="79FAB58B" w14:textId="77777777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  <w:lang w:val="es-ES"/>
        </w:rPr>
      </w:pPr>
    </w:p>
    <w:p w14:paraId="306BA125" w14:textId="654B9B39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0E7975">
        <w:rPr>
          <w:rFonts w:ascii="Gotham" w:hAnsi="Gotham"/>
          <w:b/>
          <w:bCs/>
          <w:i/>
          <w:sz w:val="20"/>
          <w:szCs w:val="20"/>
          <w:lang w:val="es-ES"/>
        </w:rPr>
        <w:t xml:space="preserve">V. </w:t>
      </w:r>
      <w:r w:rsidRPr="000E7975">
        <w:rPr>
          <w:rFonts w:ascii="Gotham" w:hAnsi="Gotham"/>
          <w:i/>
          <w:sz w:val="20"/>
          <w:szCs w:val="20"/>
          <w:lang w:val="es-ES"/>
        </w:rPr>
        <w:t>Supervisar en el ámbito de su competencia que se cumplan los requisitos y procedimientos establecidos en el Sistema de Carrera Policial;</w:t>
      </w:r>
    </w:p>
    <w:p w14:paraId="1F316086" w14:textId="77777777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  <w:lang w:val="es-ES"/>
        </w:rPr>
      </w:pPr>
    </w:p>
    <w:p w14:paraId="2AF61182" w14:textId="753368DC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0E7975">
        <w:rPr>
          <w:rFonts w:ascii="Gotham" w:hAnsi="Gotham"/>
          <w:b/>
          <w:bCs/>
          <w:i/>
          <w:sz w:val="20"/>
          <w:szCs w:val="20"/>
          <w:lang w:val="es-ES"/>
        </w:rPr>
        <w:t xml:space="preserve">VI. </w:t>
      </w:r>
      <w:r w:rsidRPr="000E7975">
        <w:rPr>
          <w:rFonts w:ascii="Gotham" w:hAnsi="Gotham"/>
          <w:i/>
          <w:sz w:val="20"/>
          <w:szCs w:val="20"/>
          <w:lang w:val="es-ES"/>
        </w:rPr>
        <w:t>Coadyuvar en materia de seguridad pública con las dependencias y organismos públicos federales, estatales y municipales que se requiera, con apego a las leyes, reglamentos y demás ordenamientos aplicables;</w:t>
      </w:r>
    </w:p>
    <w:p w14:paraId="5B0D6796" w14:textId="77777777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sz w:val="20"/>
          <w:szCs w:val="20"/>
          <w:lang w:val="es-ES"/>
        </w:rPr>
      </w:pPr>
    </w:p>
    <w:p w14:paraId="258D2075" w14:textId="0B9F10AA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0E7975">
        <w:rPr>
          <w:rFonts w:ascii="Gotham" w:hAnsi="Gotham"/>
          <w:b/>
          <w:bCs/>
          <w:i/>
          <w:sz w:val="20"/>
          <w:szCs w:val="20"/>
          <w:lang w:val="es-ES"/>
        </w:rPr>
        <w:t xml:space="preserve">VII. </w:t>
      </w:r>
      <w:r w:rsidRPr="000E7975">
        <w:rPr>
          <w:rFonts w:ascii="Gotham" w:hAnsi="Gotham"/>
          <w:i/>
          <w:sz w:val="20"/>
          <w:szCs w:val="20"/>
          <w:lang w:val="es-ES"/>
        </w:rPr>
        <w:t>Ordenar en el ámbito de su competencia, la implementación de operativos conjuntos con</w:t>
      </w:r>
      <w:r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autoridades federales, estatales y municipales, a efecto de realizar revisiones e inspecciones a las</w:t>
      </w:r>
      <w:r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personas usuarias y choferes de las unidades de transporte público de pasajeros de la Entidad, con la</w:t>
      </w:r>
      <w:r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finalidad de inhibir la comisión de delitos en el transporte público;</w:t>
      </w:r>
    </w:p>
    <w:p w14:paraId="2013C6F5" w14:textId="77777777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00944462" w14:textId="21288A9C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VIII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. </w:t>
      </w:r>
      <w:proofErr w:type="spellStart"/>
      <w:r w:rsidRPr="000E7975">
        <w:rPr>
          <w:rFonts w:ascii="Gotham" w:hAnsi="Gotham"/>
          <w:i/>
          <w:sz w:val="20"/>
          <w:szCs w:val="20"/>
          <w:lang w:val="es-ES"/>
        </w:rPr>
        <w:t>Eficientar</w:t>
      </w:r>
      <w:proofErr w:type="spellEnd"/>
      <w:r w:rsidRPr="000E7975">
        <w:rPr>
          <w:rFonts w:ascii="Gotham" w:hAnsi="Gotham"/>
          <w:i/>
          <w:sz w:val="20"/>
          <w:szCs w:val="20"/>
          <w:lang w:val="es-ES"/>
        </w:rPr>
        <w:t xml:space="preserve"> los procedimientos para la localización, identificación y recuperación de vehículos con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reporte de robo o utilizados en la comisión de un delito;</w:t>
      </w:r>
    </w:p>
    <w:p w14:paraId="33F1AAC6" w14:textId="72D54821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lastRenderedPageBreak/>
        <w:t>IX.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Coordinar acciones tendientes a la localización y recuperación de vehículos con reporte de robo,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con instituciones de los tres niveles de gobierno, previa suscripción de convenios, conforme a las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disposiciones legales y administrativas en la materia;</w:t>
      </w:r>
    </w:p>
    <w:p w14:paraId="6EA1C3E5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24DAAEDF" w14:textId="7AFC5525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Ejecutar, controlar y vigilar las medidas cautelares y las condiciones de la suspensión condicional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del proceso penal dictadas por el Órgano Jurisdiccional, de conformidad con la normatividad aplicable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en la materia;</w:t>
      </w:r>
    </w:p>
    <w:p w14:paraId="467F9121" w14:textId="77777777" w:rsidR="001C6950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747372E8" w14:textId="4EE51C68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Determinar y vigilar las estrategias de supervisión e implementación de las medidas cautelares;</w:t>
      </w:r>
    </w:p>
    <w:p w14:paraId="4E093705" w14:textId="77777777" w:rsidR="001C6950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707DBC5D" w14:textId="07055F58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Coordinarse interinstitucionalmente, así como con la sociedad civil organizada, para el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establecimiento de programas de supervisión de las medidas cautelares y de las condiciones a cumplir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durante la suspensión condicional del proceso;</w:t>
      </w:r>
    </w:p>
    <w:p w14:paraId="28D97AD6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5A5114D1" w14:textId="4877C4DC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XIII.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Plantear y diseñar los procesos tendientes a la generación de información táctica que permita la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prevención de delitos;</w:t>
      </w:r>
    </w:p>
    <w:p w14:paraId="54F0E2C1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22F2213C" w14:textId="22EFDBC6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XIV.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Proponer acciones táctico-operativas de disuasión, reacción, contención y restablecimiento del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orden público en las instalaciones, eventos, comunidades, regiones, zonas y rutas en las que se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encuentren desplegadas sus personas servidoras públicas;</w:t>
      </w:r>
    </w:p>
    <w:p w14:paraId="2E37BF73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00776E67" w14:textId="5F59D2AC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XV.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Someter a consideración de la persona titular de la Secretaría, medidas orientadas a la mejor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organización y funcionamiento de la Unidad Administrativa a su cargo;</w:t>
      </w:r>
    </w:p>
    <w:p w14:paraId="115FAD95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3AD6D8BD" w14:textId="06B08A1A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XVI.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Implementar y mantener actualizados, en el ámbito de su competencia, los sistemas de registro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de información de la Secretaría;</w:t>
      </w:r>
    </w:p>
    <w:p w14:paraId="725FCBC0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29FC21AA" w14:textId="254A3211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XVII.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Proporcionar la información necesaria para la integración de las bases de datos de la Secretaría,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con motivo del ejercicio de sus atribuciones;</w:t>
      </w:r>
    </w:p>
    <w:p w14:paraId="16661D43" w14:textId="77777777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1BF15F04" w14:textId="101DD2DE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XVIII.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Consultar y aprovechar la información que se genere en las bases de datos de la Secretaría para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el desempeño de sus atribuciones;</w:t>
      </w:r>
    </w:p>
    <w:p w14:paraId="28AF244A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6CCE50D0" w14:textId="48B4D413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XIX.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Supervisar y garantizar la implementación, actualización, operación, mantenimiento y resguardo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en los sistemas tecnológicos que implementen las Unidades Administrativas a su cargo;</w:t>
      </w:r>
    </w:p>
    <w:p w14:paraId="09064ED5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741B289C" w14:textId="0C45E5DE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XX.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Proponer, en el ámbito de su competencia, la implementación de técnicas especiales de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investigación;</w:t>
      </w:r>
    </w:p>
    <w:p w14:paraId="455CB439" w14:textId="5C40A55A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lastRenderedPageBreak/>
        <w:t>XXI.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Implementar acciones para la modernización administrativa, mejora regulatoria, gobierno digital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y gestión de calidad en los trámites y servicios que presten las Unidades Administrativas a su cargo,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así como vigilar su cumplimiento;</w:t>
      </w:r>
    </w:p>
    <w:p w14:paraId="234ABEF0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639E7E2F" w14:textId="5DEF3658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XXII.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Proponer, elaborar y mantener actualizados, en coordinación con la Unidad Administrativa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competente de la Secretaría, en términos del Plan de Desarrollo del Estado de México, los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procedimientos y sus respectivos manuales, correspondientes a cada una de las Unidades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Administrativas bajo su adscripción;</w:t>
      </w:r>
    </w:p>
    <w:p w14:paraId="771F3C70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75FE931D" w14:textId="32A6B79B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XXIII.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Apoyar, bajo la conducción y mando de las autoridades competentes, las investigaciones de los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delitos que se le encomienden, así como las actuaciones que se instruyan conforme a las disposiciones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jurídicas en la materia;</w:t>
      </w:r>
    </w:p>
    <w:p w14:paraId="30CE0887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0B6F4680" w14:textId="1AD24634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XXIV.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Participar en la investigación, detención de personas y aseguramiento de bienes que las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autoridades competentes consideren se encuentren relacionados con los hechos delictivos, así como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practicar las diligencias necesarias que permitan el esclarecimiento de los hechos delictivos y la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identidad de las personas probables responsables, en cumplimiento de los mandatos del Ministerio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Público;</w:t>
      </w:r>
    </w:p>
    <w:p w14:paraId="045234F4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0D193168" w14:textId="2AE450C1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1C6950">
        <w:rPr>
          <w:rFonts w:ascii="Gotham" w:hAnsi="Gotham"/>
          <w:b/>
          <w:bCs/>
          <w:i/>
          <w:sz w:val="20"/>
          <w:szCs w:val="20"/>
          <w:lang w:val="es-ES"/>
        </w:rPr>
        <w:t>XXV.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Supervisar y orientar las actividades de cada una de las Unidades Administrativas bajo su</w:t>
      </w:r>
      <w:r w:rsidR="001C6950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adscripción;</w:t>
      </w:r>
    </w:p>
    <w:p w14:paraId="195EDE45" w14:textId="77777777" w:rsidR="001C6950" w:rsidRPr="000E7975" w:rsidRDefault="001C6950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1BA88B4D" w14:textId="47ED88FA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D61594">
        <w:rPr>
          <w:rFonts w:ascii="Gotham" w:hAnsi="Gotham"/>
          <w:b/>
          <w:bCs/>
          <w:i/>
          <w:sz w:val="20"/>
          <w:szCs w:val="20"/>
          <w:lang w:val="es-ES"/>
        </w:rPr>
        <w:t>XXVI.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Coordinar operativamente a las corporaciones auxiliares en situaciones de urgencia, desastre o</w:t>
      </w:r>
      <w:r w:rsidR="00D61594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cuando se considere necesario en apoyo a la seguridad pública;</w:t>
      </w:r>
    </w:p>
    <w:p w14:paraId="40BC9985" w14:textId="77777777" w:rsidR="00D61594" w:rsidRPr="000E7975" w:rsidRDefault="00D61594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69A5FA26" w14:textId="0EBABAC2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B11AA9">
        <w:rPr>
          <w:rFonts w:ascii="Gotham" w:hAnsi="Gotham"/>
          <w:b/>
          <w:bCs/>
          <w:i/>
          <w:sz w:val="20"/>
          <w:szCs w:val="20"/>
          <w:lang w:val="es-ES"/>
        </w:rPr>
        <w:t>XXVII.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Supervisar que las actuaciones policiales de las personas servidoras públicas a su cargo, se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registren en constancias que permitan llevar un control y seguimiento de las mismas;</w:t>
      </w:r>
    </w:p>
    <w:p w14:paraId="5CACD2C7" w14:textId="77777777" w:rsidR="00B11AA9" w:rsidRPr="000E7975" w:rsidRDefault="00B11AA9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3A1B92EB" w14:textId="5C8C91B5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B11AA9">
        <w:rPr>
          <w:rFonts w:ascii="Gotham" w:hAnsi="Gotham"/>
          <w:b/>
          <w:bCs/>
          <w:i/>
          <w:sz w:val="20"/>
          <w:szCs w:val="20"/>
          <w:lang w:val="es-ES"/>
        </w:rPr>
        <w:t>XXVIII.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Participar en el cumplimiento de las órdenes de aprehensión y demás mandatos ministeriales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y jurisdiccionales de que tenga conocimiento con motivo de sus atribuciones;</w:t>
      </w:r>
    </w:p>
    <w:p w14:paraId="0751EF2C" w14:textId="77777777" w:rsidR="00B11AA9" w:rsidRPr="000E7975" w:rsidRDefault="00B11AA9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03281ED5" w14:textId="5B412F97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B11AA9">
        <w:rPr>
          <w:rFonts w:ascii="Gotham" w:hAnsi="Gotham"/>
          <w:b/>
          <w:bCs/>
          <w:i/>
          <w:sz w:val="20"/>
          <w:szCs w:val="20"/>
          <w:lang w:val="es-ES"/>
        </w:rPr>
        <w:t>XXIX.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Proponer a la persona titular de la Secretaría la adquisición del equipo adecuado para el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desarrollo de los servicios;</w:t>
      </w:r>
    </w:p>
    <w:p w14:paraId="14F315B7" w14:textId="77777777" w:rsidR="00B11AA9" w:rsidRPr="000E7975" w:rsidRDefault="00B11AA9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147C973C" w14:textId="0217448B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B11AA9">
        <w:rPr>
          <w:rFonts w:ascii="Gotham" w:hAnsi="Gotham"/>
          <w:b/>
          <w:bCs/>
          <w:i/>
          <w:sz w:val="20"/>
          <w:szCs w:val="20"/>
          <w:lang w:val="es-ES"/>
        </w:rPr>
        <w:t>XXX.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Dirigir y supervisar la aplicación de los procedimientos sistemáticos operativos contenidos en los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manuales correspondientes;</w:t>
      </w:r>
    </w:p>
    <w:p w14:paraId="7B4D6EDF" w14:textId="77777777" w:rsidR="00B11AA9" w:rsidRPr="000E7975" w:rsidRDefault="00B11AA9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67ED642C" w14:textId="6C875946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B11AA9">
        <w:rPr>
          <w:rFonts w:ascii="Gotham" w:hAnsi="Gotham"/>
          <w:b/>
          <w:bCs/>
          <w:i/>
          <w:sz w:val="20"/>
          <w:szCs w:val="20"/>
          <w:lang w:val="es-ES"/>
        </w:rPr>
        <w:lastRenderedPageBreak/>
        <w:t>XXXI</w:t>
      </w:r>
      <w:r w:rsidRPr="000E7975">
        <w:rPr>
          <w:rFonts w:ascii="Gotham" w:hAnsi="Gotham"/>
          <w:i/>
          <w:sz w:val="20"/>
          <w:szCs w:val="20"/>
          <w:lang w:val="es-ES"/>
        </w:rPr>
        <w:t>. Elaborar, en el ámbito de su competencia, estudios que permitan mejorar el desarrollo de sus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atribuciones;</w:t>
      </w:r>
    </w:p>
    <w:p w14:paraId="74363C38" w14:textId="77777777" w:rsidR="00B11AA9" w:rsidRPr="000E7975" w:rsidRDefault="00B11AA9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4FFCF600" w14:textId="2C835277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B11AA9">
        <w:rPr>
          <w:rFonts w:ascii="Gotham" w:hAnsi="Gotham"/>
          <w:b/>
          <w:bCs/>
          <w:i/>
          <w:sz w:val="20"/>
          <w:szCs w:val="20"/>
          <w:lang w:val="es-ES"/>
        </w:rPr>
        <w:t>XXXII.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Dirigir la elaboración de planes, programas y proyectos en materia de su competencia de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acuerdo con la normatividad vigente;</w:t>
      </w:r>
    </w:p>
    <w:p w14:paraId="170E2223" w14:textId="77777777" w:rsidR="00B11AA9" w:rsidRPr="000E7975" w:rsidRDefault="00B11AA9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3915FEB5" w14:textId="367637EA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B11AA9">
        <w:rPr>
          <w:rFonts w:ascii="Gotham" w:hAnsi="Gotham"/>
          <w:b/>
          <w:bCs/>
          <w:i/>
          <w:sz w:val="20"/>
          <w:szCs w:val="20"/>
          <w:lang w:val="es-ES"/>
        </w:rPr>
        <w:t>XXXIII.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Diseñar mecanismos de evaluación de los programas a su cargo;</w:t>
      </w:r>
    </w:p>
    <w:p w14:paraId="2A8F8993" w14:textId="77777777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03D2C68C" w14:textId="33743A20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B11AA9">
        <w:rPr>
          <w:rFonts w:ascii="Gotham" w:hAnsi="Gotham"/>
          <w:b/>
          <w:bCs/>
          <w:i/>
          <w:sz w:val="20"/>
          <w:szCs w:val="20"/>
          <w:lang w:val="es-ES"/>
        </w:rPr>
        <w:t>XXXIV.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Autorizar los nombramientos, adscripciones y comisiones de las personas servidoras públicas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de las Unidades Administrativas y Operativas a su cargo; así como autorizar e implementar los cambios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de adscripción de las personas servidoras públicas de las Unidades Administrativas y Operativas a su</w:t>
      </w:r>
    </w:p>
    <w:p w14:paraId="740C5AB4" w14:textId="67C705A9" w:rsid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  <w:r w:rsidRPr="000E7975">
        <w:rPr>
          <w:rFonts w:ascii="Gotham" w:hAnsi="Gotham"/>
          <w:i/>
          <w:sz w:val="20"/>
          <w:szCs w:val="20"/>
          <w:lang w:val="es-ES"/>
        </w:rPr>
        <w:t>cargo de un área operativa a otra o distinta a sus funciones, conforme a las necesidades del servicio;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con excepción de las personas titulares de las Unidades Administrativas, informando a la Oficialía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Mayor para los efectos administrativos conducentes, y</w:t>
      </w:r>
    </w:p>
    <w:p w14:paraId="499E5E0F" w14:textId="77777777" w:rsidR="00B11AA9" w:rsidRPr="000E7975" w:rsidRDefault="00B11AA9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  <w:lang w:val="es-ES"/>
        </w:rPr>
      </w:pPr>
    </w:p>
    <w:p w14:paraId="391E6DE0" w14:textId="715A8B1F" w:rsidR="000E7975" w:rsidRPr="00105717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B11AA9">
        <w:rPr>
          <w:rFonts w:ascii="Gotham" w:hAnsi="Gotham"/>
          <w:b/>
          <w:bCs/>
          <w:i/>
          <w:sz w:val="20"/>
          <w:szCs w:val="20"/>
          <w:lang w:val="es-ES"/>
        </w:rPr>
        <w:t>XXXV.</w:t>
      </w:r>
      <w:r w:rsidRPr="000E7975">
        <w:rPr>
          <w:rFonts w:ascii="Gotham" w:hAnsi="Gotham"/>
          <w:i/>
          <w:sz w:val="20"/>
          <w:szCs w:val="20"/>
          <w:lang w:val="es-ES"/>
        </w:rPr>
        <w:t xml:space="preserve"> Las demás que le confieran otras disposiciones jurídicas y las que le encomiende la persona</w:t>
      </w:r>
      <w:r w:rsidR="00B11AA9">
        <w:rPr>
          <w:rFonts w:ascii="Gotham" w:hAnsi="Gotham"/>
          <w:i/>
          <w:sz w:val="20"/>
          <w:szCs w:val="20"/>
          <w:lang w:val="es-ES"/>
        </w:rPr>
        <w:t xml:space="preserve"> </w:t>
      </w:r>
      <w:r w:rsidRPr="000E7975">
        <w:rPr>
          <w:rFonts w:ascii="Gotham" w:hAnsi="Gotham"/>
          <w:i/>
          <w:sz w:val="20"/>
          <w:szCs w:val="20"/>
          <w:lang w:val="es-ES"/>
        </w:rPr>
        <w:t>titular de la Secretaría.</w:t>
      </w:r>
      <w:r w:rsidR="00B11AA9">
        <w:rPr>
          <w:rFonts w:ascii="Gotham" w:hAnsi="Gotham"/>
          <w:i/>
          <w:sz w:val="20"/>
          <w:szCs w:val="20"/>
          <w:lang w:val="es-ES"/>
        </w:rPr>
        <w:t>”</w:t>
      </w:r>
      <w:r w:rsidRPr="000E7975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 xml:space="preserve"> </w:t>
      </w:r>
      <w:r w:rsidRPr="00105717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>(énfasis añadido)</w:t>
      </w:r>
    </w:p>
    <w:p w14:paraId="3C55FD56" w14:textId="5F6A0689" w:rsidR="000E7975" w:rsidRPr="000E7975" w:rsidRDefault="000E7975" w:rsidP="000E7975">
      <w:pPr>
        <w:spacing w:after="0" w:line="240" w:lineRule="atLeast"/>
        <w:ind w:left="567" w:right="335"/>
        <w:jc w:val="both"/>
        <w:rPr>
          <w:rFonts w:ascii="Gotham" w:hAnsi="Gotham"/>
          <w:i/>
          <w:sz w:val="20"/>
          <w:szCs w:val="20"/>
        </w:rPr>
      </w:pPr>
    </w:p>
    <w:p w14:paraId="1CE1DD9D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/>
          <w:iCs/>
          <w:sz w:val="20"/>
          <w:szCs w:val="20"/>
        </w:rPr>
      </w:pPr>
      <w:r w:rsidRPr="00105717">
        <w:rPr>
          <w:rFonts w:ascii="Gotham" w:hAnsi="Gotham"/>
          <w:b/>
          <w:iCs/>
          <w:sz w:val="20"/>
          <w:szCs w:val="20"/>
        </w:rPr>
        <w:t>Orientación:</w:t>
      </w:r>
    </w:p>
    <w:p w14:paraId="1FFF8370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/>
          <w:iCs/>
          <w:sz w:val="20"/>
          <w:szCs w:val="20"/>
        </w:rPr>
      </w:pPr>
    </w:p>
    <w:p w14:paraId="28622A65" w14:textId="24201BB8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0"/>
          <w:szCs w:val="20"/>
        </w:rPr>
      </w:pPr>
      <w:r w:rsidRPr="00105717">
        <w:rPr>
          <w:rFonts w:ascii="Gotham" w:hAnsi="Gotham"/>
          <w:bCs/>
          <w:iCs/>
          <w:sz w:val="20"/>
          <w:szCs w:val="20"/>
        </w:rPr>
        <w:t xml:space="preserve">Se le orienta en el sentido de que la información señalada pudiere ser proporcionada por el </w:t>
      </w:r>
      <w:r w:rsidR="000E7975" w:rsidRPr="000E7975">
        <w:rPr>
          <w:rFonts w:ascii="Gotham" w:hAnsi="Gotham"/>
          <w:b/>
          <w:bCs/>
          <w:iCs/>
          <w:sz w:val="20"/>
          <w:szCs w:val="20"/>
        </w:rPr>
        <w:t>Secretaría de Seguridad del Estado de México</w:t>
      </w:r>
      <w:r w:rsidRPr="00105717">
        <w:rPr>
          <w:rFonts w:ascii="Gotham" w:hAnsi="Gotham"/>
          <w:b/>
          <w:bCs/>
          <w:iCs/>
          <w:sz w:val="20"/>
          <w:szCs w:val="20"/>
        </w:rPr>
        <w:t>,</w:t>
      </w:r>
      <w:r w:rsidRPr="00105717">
        <w:rPr>
          <w:rFonts w:ascii="Gotham" w:hAnsi="Gotham"/>
          <w:bCs/>
          <w:sz w:val="20"/>
          <w:szCs w:val="20"/>
        </w:rPr>
        <w:t xml:space="preserve"> por lo que de manera respetuosa se sugiere ingrese su solicitud</w:t>
      </w:r>
      <w:r w:rsidRPr="00105717">
        <w:rPr>
          <w:rFonts w:ascii="Gotham" w:hAnsi="Gotham"/>
          <w:bCs/>
          <w:iCs/>
          <w:sz w:val="20"/>
          <w:szCs w:val="20"/>
        </w:rPr>
        <w:t>:</w:t>
      </w:r>
    </w:p>
    <w:p w14:paraId="59011BD6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0"/>
          <w:szCs w:val="20"/>
        </w:rPr>
      </w:pPr>
    </w:p>
    <w:p w14:paraId="6D0F876F" w14:textId="77777777" w:rsidR="000E7975" w:rsidRPr="000E7975" w:rsidRDefault="000E7975" w:rsidP="000E7975">
      <w:pPr>
        <w:numPr>
          <w:ilvl w:val="0"/>
          <w:numId w:val="2"/>
        </w:numPr>
        <w:spacing w:after="0" w:line="240" w:lineRule="atLeast"/>
        <w:ind w:right="-516"/>
        <w:jc w:val="both"/>
        <w:rPr>
          <w:rFonts w:ascii="Gotham" w:hAnsi="Gotham"/>
          <w:bCs/>
          <w:iCs/>
          <w:sz w:val="20"/>
          <w:szCs w:val="20"/>
        </w:rPr>
      </w:pPr>
      <w:r w:rsidRPr="000E7975">
        <w:rPr>
          <w:rFonts w:ascii="Gotham" w:hAnsi="Gotham"/>
          <w:bCs/>
          <w:iCs/>
          <w:sz w:val="20"/>
          <w:szCs w:val="20"/>
        </w:rPr>
        <w:t xml:space="preserve">De manera electrónica a través de la Plataforma Nacional de Transparencia o SAIMEX, o de manera personal ante la Unidad de Transparencia de la </w:t>
      </w:r>
      <w:r w:rsidRPr="000E7975">
        <w:rPr>
          <w:rFonts w:ascii="Gotham" w:hAnsi="Gotham"/>
          <w:b/>
          <w:bCs/>
          <w:iCs/>
          <w:sz w:val="20"/>
          <w:szCs w:val="20"/>
        </w:rPr>
        <w:t>Secretaría de Seguridad del Estado de México</w:t>
      </w:r>
      <w:r w:rsidRPr="000E7975">
        <w:rPr>
          <w:rFonts w:ascii="Gotham" w:hAnsi="Gotham"/>
          <w:bCs/>
          <w:iCs/>
          <w:sz w:val="20"/>
          <w:szCs w:val="20"/>
        </w:rPr>
        <w:t xml:space="preserve">, ubicada en Avenida 28 de Octubre sin número, Colonia Vértice, Código Postal 50090, Toluca, México, teléfono 722 279 6200 extensiones 4108 y 4280, en un horario de atención de lunes a viernes de 09:00 a 18:00 horas en días hábiles, y correo electrónico oficial: </w:t>
      </w:r>
      <w:hyperlink r:id="rId7" w:history="1">
        <w:r w:rsidRPr="000E7975">
          <w:rPr>
            <w:rStyle w:val="Hipervnculo"/>
            <w:rFonts w:ascii="Gotham" w:hAnsi="Gotham"/>
            <w:bCs/>
            <w:iCs/>
            <w:sz w:val="20"/>
            <w:szCs w:val="20"/>
          </w:rPr>
          <w:t>ssem@itaipem.org.mx</w:t>
        </w:r>
      </w:hyperlink>
    </w:p>
    <w:p w14:paraId="01178A48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7F20A65F" w14:textId="77777777" w:rsidR="004465C6" w:rsidRPr="00105717" w:rsidRDefault="004465C6" w:rsidP="004465C6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>Sin otro particular, reciba un cordial saludo.</w:t>
      </w:r>
    </w:p>
    <w:p w14:paraId="229B8FE3" w14:textId="77777777" w:rsidR="004465C6" w:rsidRPr="00105717" w:rsidRDefault="004465C6" w:rsidP="004465C6">
      <w:pPr>
        <w:spacing w:after="0" w:line="240" w:lineRule="atLeast"/>
        <w:ind w:left="-284" w:right="-516"/>
        <w:rPr>
          <w:rFonts w:ascii="Gotham" w:hAnsi="Gotham"/>
          <w:bCs/>
          <w:sz w:val="20"/>
          <w:szCs w:val="20"/>
        </w:rPr>
      </w:pPr>
    </w:p>
    <w:p w14:paraId="44EBC2C5" w14:textId="77777777" w:rsidR="004465C6" w:rsidRPr="00105717" w:rsidRDefault="004465C6" w:rsidP="004465C6">
      <w:pPr>
        <w:spacing w:after="0" w:line="240" w:lineRule="atLeast"/>
        <w:ind w:left="-284" w:right="-516"/>
        <w:rPr>
          <w:rFonts w:ascii="Gotham" w:hAnsi="Gotham"/>
          <w:bCs/>
          <w:sz w:val="20"/>
          <w:szCs w:val="20"/>
        </w:rPr>
      </w:pPr>
    </w:p>
    <w:p w14:paraId="239BC819" w14:textId="77777777" w:rsidR="004465C6" w:rsidRPr="00105717" w:rsidRDefault="004465C6" w:rsidP="004465C6">
      <w:pPr>
        <w:spacing w:after="0" w:line="240" w:lineRule="atLeast"/>
        <w:ind w:left="-284" w:right="-516"/>
        <w:rPr>
          <w:rFonts w:ascii="Gotham Bold" w:hAnsi="Gotham Bold"/>
          <w:b/>
          <w:sz w:val="20"/>
          <w:szCs w:val="20"/>
          <w:lang w:val="de-DE"/>
        </w:rPr>
      </w:pPr>
      <w:r w:rsidRPr="00105717">
        <w:rPr>
          <w:rFonts w:ascii="Gotham Bold" w:hAnsi="Gotham Bold"/>
          <w:b/>
          <w:sz w:val="20"/>
          <w:szCs w:val="20"/>
          <w:lang w:val="de-DE"/>
        </w:rPr>
        <w:t>A T E N T A M E N T E</w:t>
      </w:r>
    </w:p>
    <w:p w14:paraId="2A583A54" w14:textId="77777777" w:rsidR="004465C6" w:rsidRPr="00105717" w:rsidRDefault="004465C6" w:rsidP="004465C6">
      <w:pPr>
        <w:spacing w:after="0" w:line="240" w:lineRule="atLeast"/>
        <w:ind w:left="-284" w:right="-516"/>
        <w:rPr>
          <w:rFonts w:ascii="Gotham Bold" w:hAnsi="Gotham Bold"/>
          <w:bCs/>
          <w:sz w:val="20"/>
          <w:szCs w:val="20"/>
          <w:lang w:val="de-DE"/>
        </w:rPr>
      </w:pPr>
    </w:p>
    <w:p w14:paraId="15C27ACA" w14:textId="77777777" w:rsidR="004465C6" w:rsidRPr="00105717" w:rsidRDefault="004465C6" w:rsidP="004465C6">
      <w:pPr>
        <w:spacing w:after="0" w:line="240" w:lineRule="atLeast"/>
        <w:ind w:left="-284" w:right="-516"/>
        <w:rPr>
          <w:rFonts w:ascii="Gotham Bold" w:hAnsi="Gotham Bold"/>
          <w:bCs/>
          <w:sz w:val="20"/>
          <w:szCs w:val="20"/>
          <w:lang w:val="de-DE"/>
        </w:rPr>
      </w:pPr>
    </w:p>
    <w:p w14:paraId="60ED5BCA" w14:textId="77777777" w:rsidR="004465C6" w:rsidRPr="00105717" w:rsidRDefault="004465C6" w:rsidP="004465C6">
      <w:pPr>
        <w:spacing w:after="0" w:line="240" w:lineRule="atLeast"/>
        <w:ind w:left="-284" w:right="-516"/>
        <w:rPr>
          <w:rFonts w:ascii="Gotham Bold" w:hAnsi="Gotham Bold"/>
          <w:bCs/>
          <w:sz w:val="20"/>
          <w:szCs w:val="20"/>
          <w:lang w:val="de-DE"/>
        </w:rPr>
      </w:pPr>
    </w:p>
    <w:p w14:paraId="0CE74E5F" w14:textId="77777777" w:rsidR="004465C6" w:rsidRPr="00105717" w:rsidRDefault="004465C6" w:rsidP="004465C6">
      <w:pPr>
        <w:spacing w:after="0" w:line="240" w:lineRule="auto"/>
        <w:ind w:left="-284" w:right="-516"/>
        <w:rPr>
          <w:rFonts w:ascii="Gotham Bold" w:hAnsi="Gotham Bold"/>
          <w:b/>
          <w:bCs/>
          <w:iCs/>
          <w:sz w:val="20"/>
          <w:szCs w:val="20"/>
        </w:rPr>
      </w:pPr>
      <w:r w:rsidRPr="00105717">
        <w:rPr>
          <w:rFonts w:ascii="Gotham Bold" w:hAnsi="Gotham Bold"/>
          <w:b/>
          <w:bCs/>
          <w:iCs/>
          <w:sz w:val="20"/>
          <w:szCs w:val="20"/>
        </w:rPr>
        <w:t>LIC. JOSÉ RUBÉN MEJÍA DUQUE</w:t>
      </w:r>
    </w:p>
    <w:p w14:paraId="20B63AE6" w14:textId="77777777" w:rsidR="004465C6" w:rsidRPr="00105717" w:rsidRDefault="004465C6" w:rsidP="004465C6">
      <w:pPr>
        <w:spacing w:after="0" w:line="240" w:lineRule="auto"/>
        <w:ind w:left="-284" w:right="-516"/>
        <w:rPr>
          <w:rFonts w:ascii="Gotham Bold" w:hAnsi="Gotham Bold"/>
          <w:b/>
          <w:bCs/>
          <w:iCs/>
          <w:sz w:val="20"/>
          <w:szCs w:val="20"/>
        </w:rPr>
      </w:pPr>
      <w:r w:rsidRPr="00105717">
        <w:rPr>
          <w:rFonts w:ascii="Gotham Bold" w:hAnsi="Gotham Bold"/>
          <w:b/>
          <w:bCs/>
          <w:iCs/>
          <w:sz w:val="20"/>
          <w:szCs w:val="20"/>
        </w:rPr>
        <w:t>TITULAR DE LA UNIDAD DE TRANSPARENCIA DEL SECRETARIADO</w:t>
      </w:r>
    </w:p>
    <w:p w14:paraId="09FE5FBA" w14:textId="77777777" w:rsidR="004465C6" w:rsidRPr="00105717" w:rsidRDefault="004465C6" w:rsidP="004465C6">
      <w:pPr>
        <w:spacing w:after="0" w:line="240" w:lineRule="auto"/>
        <w:ind w:left="-284" w:right="-516"/>
        <w:rPr>
          <w:rFonts w:ascii="Gotham Bold" w:hAnsi="Gotham Bold"/>
          <w:b/>
          <w:bCs/>
          <w:iCs/>
          <w:sz w:val="20"/>
          <w:szCs w:val="20"/>
        </w:rPr>
      </w:pPr>
      <w:r w:rsidRPr="00105717">
        <w:rPr>
          <w:rFonts w:ascii="Gotham Bold" w:hAnsi="Gotham Bold"/>
          <w:b/>
          <w:bCs/>
          <w:iCs/>
          <w:sz w:val="20"/>
          <w:szCs w:val="20"/>
        </w:rPr>
        <w:t>EJECUTIVO DEL SISTEMA ESTATAL DE SEGURIDAD PÚBLICA</w:t>
      </w:r>
    </w:p>
    <w:p w14:paraId="1409DC94" w14:textId="7EB1A148" w:rsidR="004465C6" w:rsidRDefault="004465C6" w:rsidP="00A45F79">
      <w:pPr>
        <w:spacing w:after="0" w:line="240" w:lineRule="auto"/>
        <w:ind w:left="-284" w:right="-516"/>
      </w:pPr>
      <w:r w:rsidRPr="00105717">
        <w:rPr>
          <w:rFonts w:ascii="Gotham Bold" w:hAnsi="Gotham Bold"/>
          <w:b/>
          <w:bCs/>
          <w:sz w:val="12"/>
          <w:szCs w:val="12"/>
        </w:rPr>
        <w:t>Elaboró: ALCM</w:t>
      </w:r>
      <w:bookmarkEnd w:id="0"/>
    </w:p>
    <w:sectPr w:rsidR="004465C6" w:rsidSect="004465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19"/>
      <w:pgMar w:top="2694" w:right="1701" w:bottom="255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7A304" w14:textId="77777777" w:rsidR="005B64A4" w:rsidRDefault="005B64A4">
      <w:pPr>
        <w:spacing w:after="0" w:line="240" w:lineRule="auto"/>
      </w:pPr>
      <w:r>
        <w:separator/>
      </w:r>
    </w:p>
  </w:endnote>
  <w:endnote w:type="continuationSeparator" w:id="0">
    <w:p w14:paraId="6129640E" w14:textId="77777777" w:rsidR="005B64A4" w:rsidRDefault="005B6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Gotham"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Bw Modelica Cyrillic DEMO">
    <w:panose1 w:val="00000600000000000000"/>
    <w:charset w:val="00"/>
    <w:family w:val="auto"/>
    <w:pitch w:val="variable"/>
    <w:sig w:usb0="00000203" w:usb1="00000001" w:usb2="00000000" w:usb3="00000000" w:csb0="00000005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0CCCA" w14:textId="77777777" w:rsidR="00717C01" w:rsidRDefault="00717C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64A77" w14:textId="62627847" w:rsidR="00717C01" w:rsidRPr="00E45619" w:rsidRDefault="00000000" w:rsidP="00910351">
    <w:pPr>
      <w:jc w:val="center"/>
      <w:rPr>
        <w:rFonts w:ascii="Montserrat" w:hAnsi="Montserrat"/>
        <w:b/>
        <w:sz w:val="16"/>
        <w:szCs w:val="16"/>
        <w:lang w:val="es-ES"/>
      </w:rPr>
    </w:pPr>
    <w:r w:rsidRPr="00E45619">
      <w:rPr>
        <w:rFonts w:ascii="Montserrat" w:hAnsi="Montserrat"/>
        <w:b/>
        <w:sz w:val="18"/>
        <w:szCs w:val="18"/>
        <w:lang w:val="es-ES"/>
      </w:rPr>
      <w:t xml:space="preserve"> </w:t>
    </w:r>
  </w:p>
  <w:p w14:paraId="12B38037" w14:textId="77777777" w:rsidR="00717C01" w:rsidRPr="00BA7858" w:rsidRDefault="00717C01" w:rsidP="00E45619">
    <w:pPr>
      <w:pStyle w:val="Sinespaciado"/>
      <w:rPr>
        <w:rFonts w:ascii="Gotham" w:hAnsi="Gotham"/>
        <w:sz w:val="18"/>
        <w:szCs w:val="18"/>
      </w:rPr>
    </w:pPr>
  </w:p>
  <w:p w14:paraId="0B4A6E50" w14:textId="77777777" w:rsidR="00717C01" w:rsidRDefault="00717C0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DACB9" w14:textId="77777777" w:rsidR="00717C01" w:rsidRDefault="00717C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681DF" w14:textId="77777777" w:rsidR="005B64A4" w:rsidRDefault="005B64A4">
      <w:pPr>
        <w:spacing w:after="0" w:line="240" w:lineRule="auto"/>
      </w:pPr>
      <w:r>
        <w:separator/>
      </w:r>
    </w:p>
  </w:footnote>
  <w:footnote w:type="continuationSeparator" w:id="0">
    <w:p w14:paraId="445F853F" w14:textId="77777777" w:rsidR="005B64A4" w:rsidRDefault="005B6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BC55" w14:textId="77777777" w:rsidR="00717C01" w:rsidRDefault="00717C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0FAD6" w14:textId="5A99B0B8" w:rsidR="00717C01" w:rsidRDefault="00000000">
    <w:pPr>
      <w:pStyle w:val="Encabezado"/>
    </w:pPr>
    <w:sdt>
      <w:sdtPr>
        <w:id w:val="1416591419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4061E255" wp14:editId="0634B69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24032691" name="Rectá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D059D" w14:textId="77777777" w:rsidR="00717C01" w:rsidRDefault="00000000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061E255" id="Rectángulo 2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6ED059D" w14:textId="77777777" w:rsidR="00000000" w:rsidRDefault="00000000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8A355" w14:textId="77777777" w:rsidR="00717C01" w:rsidRDefault="00717C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B4BCB"/>
    <w:multiLevelType w:val="hybridMultilevel"/>
    <w:tmpl w:val="EE40C1B8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32674D04"/>
    <w:multiLevelType w:val="hybridMultilevel"/>
    <w:tmpl w:val="FDE00AAE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1581868983">
    <w:abstractNumId w:val="0"/>
  </w:num>
  <w:num w:numId="2" w16cid:durableId="1560936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C6"/>
    <w:rsid w:val="000E7975"/>
    <w:rsid w:val="00120FFA"/>
    <w:rsid w:val="001C23EE"/>
    <w:rsid w:val="001C6950"/>
    <w:rsid w:val="004465C6"/>
    <w:rsid w:val="005B64A4"/>
    <w:rsid w:val="005C729A"/>
    <w:rsid w:val="00610B6F"/>
    <w:rsid w:val="00651FA8"/>
    <w:rsid w:val="00717C01"/>
    <w:rsid w:val="0080387F"/>
    <w:rsid w:val="008E4705"/>
    <w:rsid w:val="00910351"/>
    <w:rsid w:val="00A45F79"/>
    <w:rsid w:val="00A7341A"/>
    <w:rsid w:val="00AD3FF7"/>
    <w:rsid w:val="00AD7C47"/>
    <w:rsid w:val="00B11AA9"/>
    <w:rsid w:val="00D61594"/>
    <w:rsid w:val="00EA3213"/>
    <w:rsid w:val="00FE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14E9F"/>
  <w15:chartTrackingRefBased/>
  <w15:docId w15:val="{C48F8FDB-3368-4221-ACC4-DF62C4BF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5C6"/>
    <w:pPr>
      <w:spacing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465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465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465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465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465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465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465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465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465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465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465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465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465C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465C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465C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465C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465C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465C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465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465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465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465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465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465C6"/>
    <w:rPr>
      <w:i/>
      <w:iCs/>
      <w:color w:val="404040" w:themeColor="text1" w:themeTint="BF"/>
    </w:rPr>
  </w:style>
  <w:style w:type="paragraph" w:styleId="Prrafodelista">
    <w:name w:val="List Paragraph"/>
    <w:aliases w:val="Viñetas,lp1,List Paragraph1,Lista de nivel 1,4 Párrafo de lista,Figuras,Dot pt,No Spacing1,List Paragraph Char Char Char,Indicator Text,Numbered Para 1,DH1,Listas,Light Grid - Accent 31,Colorful List - Accent 11,Bullet 1"/>
    <w:basedOn w:val="Normal"/>
    <w:link w:val="PrrafodelistaCar"/>
    <w:uiPriority w:val="34"/>
    <w:qFormat/>
    <w:rsid w:val="004465C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465C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465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465C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465C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465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65C6"/>
    <w:rPr>
      <w:kern w:val="0"/>
      <w:sz w:val="22"/>
      <w:szCs w:val="22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465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65C6"/>
    <w:rPr>
      <w:kern w:val="0"/>
      <w:sz w:val="22"/>
      <w:szCs w:val="22"/>
      <w14:ligatures w14:val="none"/>
    </w:rPr>
  </w:style>
  <w:style w:type="paragraph" w:styleId="Sinespaciado">
    <w:name w:val="No Spacing"/>
    <w:uiPriority w:val="1"/>
    <w:qFormat/>
    <w:rsid w:val="004465C6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465C6"/>
    <w:rPr>
      <w:color w:val="467886" w:themeColor="hyperlink"/>
      <w:u w:val="single"/>
    </w:rPr>
  </w:style>
  <w:style w:type="character" w:customStyle="1" w:styleId="PrrafodelistaCar">
    <w:name w:val="Párrafo de lista Car"/>
    <w:aliases w:val="Viñetas Car,lp1 Car,List Paragraph1 Car,Lista de nivel 1 Car,4 Párrafo de lista Car,Figuras Car,Dot pt Car,No Spacing1 Car,List Paragraph Char Char Char Car,Indicator Text Car,Numbered Para 1 Car,DH1 Car,Listas Car,Bullet 1 Car"/>
    <w:basedOn w:val="Fuentedeprrafopredeter"/>
    <w:link w:val="Prrafodelista"/>
    <w:uiPriority w:val="34"/>
    <w:qFormat/>
    <w:rsid w:val="004465C6"/>
  </w:style>
  <w:style w:type="character" w:styleId="Mencinsinresolver">
    <w:name w:val="Unresolved Mention"/>
    <w:basedOn w:val="Fuentedeprrafopredeter"/>
    <w:uiPriority w:val="99"/>
    <w:semiHidden/>
    <w:unhideWhenUsed/>
    <w:rsid w:val="000E7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sem@itaipem.org.m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1962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13</cp:revision>
  <dcterms:created xsi:type="dcterms:W3CDTF">2024-10-07T21:19:00Z</dcterms:created>
  <dcterms:modified xsi:type="dcterms:W3CDTF">2024-10-23T15:56:00Z</dcterms:modified>
</cp:coreProperties>
</file>