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E8FC9F" w14:textId="02957ECB" w:rsidR="00285EFE" w:rsidRPr="00D73334" w:rsidRDefault="00285EFE" w:rsidP="00285EFE">
      <w:pPr>
        <w:spacing w:after="0" w:line="240" w:lineRule="atLeast"/>
        <w:ind w:left="-142" w:right="-232"/>
        <w:jc w:val="right"/>
        <w:rPr>
          <w:rFonts w:ascii="Gotham Bold" w:eastAsia="Montserrat SemiBold" w:hAnsi="Gotham Bold" w:cs="Montserrat SemiBold"/>
          <w:b/>
          <w:bCs/>
          <w:color w:val="000000" w:themeColor="text1"/>
          <w:sz w:val="18"/>
          <w:szCs w:val="18"/>
        </w:rPr>
      </w:pPr>
      <w:r w:rsidRPr="00D73334">
        <w:rPr>
          <w:rFonts w:ascii="Gotham Bold" w:eastAsia="Montserrat SemiBold" w:hAnsi="Gotham Bold" w:cs="Montserrat SemiBold"/>
          <w:b/>
          <w:bCs/>
          <w:color w:val="000000" w:themeColor="text1"/>
          <w:sz w:val="18"/>
          <w:szCs w:val="18"/>
        </w:rPr>
        <w:t>Metepec, México; a 09 de septiembre de 2024</w:t>
      </w:r>
    </w:p>
    <w:p w14:paraId="4B305626" w14:textId="6E5C68FD" w:rsidR="00285EFE" w:rsidRDefault="00285EFE" w:rsidP="00285EFE">
      <w:pPr>
        <w:spacing w:after="0" w:line="240" w:lineRule="atLeast"/>
        <w:ind w:left="-142" w:right="-232"/>
        <w:jc w:val="right"/>
        <w:rPr>
          <w:rFonts w:ascii="Gotham Bold" w:eastAsia="Montserrat SemiBold" w:hAnsi="Gotham Bold" w:cs="Montserrat SemiBold"/>
          <w:b/>
          <w:bCs/>
          <w:iCs/>
          <w:color w:val="000000" w:themeColor="text1"/>
          <w:sz w:val="18"/>
          <w:szCs w:val="18"/>
        </w:rPr>
      </w:pPr>
      <w:r w:rsidRPr="00D73334">
        <w:rPr>
          <w:rFonts w:ascii="Gotham Bold" w:eastAsia="Montserrat SemiBold" w:hAnsi="Gotham Bold" w:cs="Montserrat SemiBold"/>
          <w:b/>
          <w:bCs/>
          <w:color w:val="000000" w:themeColor="text1"/>
          <w:sz w:val="18"/>
          <w:szCs w:val="18"/>
        </w:rPr>
        <w:t xml:space="preserve">Oficio No.: </w:t>
      </w:r>
      <w:r w:rsidRPr="00D73334">
        <w:rPr>
          <w:rFonts w:ascii="Gotham Bold" w:eastAsia="Montserrat SemiBold" w:hAnsi="Gotham Bold" w:cs="Montserrat SemiBold"/>
          <w:b/>
          <w:bCs/>
          <w:iCs/>
          <w:color w:val="000000" w:themeColor="text1"/>
          <w:sz w:val="18"/>
          <w:szCs w:val="18"/>
        </w:rPr>
        <w:t>206B0110000100S/SP/UT/506/2024</w:t>
      </w:r>
    </w:p>
    <w:p w14:paraId="51EA4DAA" w14:textId="77777777" w:rsidR="00D73334" w:rsidRPr="00D73334" w:rsidRDefault="00D73334" w:rsidP="00285EFE">
      <w:pPr>
        <w:spacing w:after="0" w:line="240" w:lineRule="atLeast"/>
        <w:ind w:left="-142" w:right="-232"/>
        <w:jc w:val="right"/>
        <w:rPr>
          <w:rFonts w:ascii="Gotham Bold" w:eastAsia="Montserrat SemiBold" w:hAnsi="Gotham Bold" w:cs="Montserrat SemiBold"/>
          <w:b/>
          <w:bCs/>
          <w:iCs/>
          <w:color w:val="000000" w:themeColor="text1"/>
          <w:sz w:val="18"/>
          <w:szCs w:val="18"/>
        </w:rPr>
      </w:pPr>
    </w:p>
    <w:p w14:paraId="1865C959" w14:textId="77777777" w:rsidR="00285EFE" w:rsidRPr="00D73334" w:rsidRDefault="00285EFE" w:rsidP="00285EFE">
      <w:pPr>
        <w:spacing w:after="0" w:line="240" w:lineRule="atLeast"/>
        <w:ind w:left="-142" w:right="-232"/>
        <w:jc w:val="right"/>
        <w:rPr>
          <w:rFonts w:ascii="Gotham Bold" w:eastAsia="Montserrat SemiBold" w:hAnsi="Gotham Bold" w:cs="Montserrat SemiBold"/>
          <w:b/>
          <w:bCs/>
          <w:color w:val="000000" w:themeColor="text1"/>
          <w:sz w:val="18"/>
          <w:szCs w:val="18"/>
        </w:rPr>
      </w:pPr>
    </w:p>
    <w:p w14:paraId="13EA1122" w14:textId="77777777" w:rsidR="00285EFE" w:rsidRPr="00D73334" w:rsidRDefault="00285EFE" w:rsidP="00285EFE">
      <w:pPr>
        <w:spacing w:after="0" w:line="240" w:lineRule="atLeast"/>
        <w:ind w:left="-142" w:right="-232"/>
        <w:jc w:val="right"/>
        <w:rPr>
          <w:rFonts w:ascii="Gotham Bold" w:eastAsia="Montserrat SemiBold" w:hAnsi="Gotham Bold" w:cs="Montserrat SemiBold"/>
          <w:b/>
          <w:bCs/>
          <w:color w:val="000000" w:themeColor="text1"/>
          <w:sz w:val="18"/>
          <w:szCs w:val="18"/>
        </w:rPr>
      </w:pPr>
    </w:p>
    <w:p w14:paraId="3780D303" w14:textId="77777777" w:rsidR="00285EFE" w:rsidRPr="00D73334" w:rsidRDefault="00285EFE" w:rsidP="00285EFE">
      <w:pPr>
        <w:spacing w:after="0" w:line="240" w:lineRule="atLeast"/>
        <w:ind w:left="-142" w:right="-232"/>
        <w:jc w:val="both"/>
        <w:rPr>
          <w:rFonts w:ascii="Gotham Bold" w:eastAsia="Times New Roman" w:hAnsi="Gotham Bold" w:cs="Times New Roman"/>
          <w:b/>
          <w:bCs/>
          <w:color w:val="000000" w:themeColor="text1"/>
          <w:sz w:val="24"/>
          <w:szCs w:val="24"/>
        </w:rPr>
      </w:pPr>
      <w:r w:rsidRPr="00D73334">
        <w:rPr>
          <w:rFonts w:ascii="Gotham Bold" w:eastAsia="Times New Roman" w:hAnsi="Gotham Bold" w:cs="Times New Roman"/>
          <w:b/>
          <w:bCs/>
          <w:color w:val="000000" w:themeColor="text1"/>
          <w:sz w:val="24"/>
          <w:szCs w:val="24"/>
        </w:rPr>
        <w:t>C. SOLICITANTE</w:t>
      </w:r>
    </w:p>
    <w:p w14:paraId="642BF3ED" w14:textId="77777777" w:rsidR="00285EFE" w:rsidRPr="00D73334" w:rsidRDefault="00285EFE" w:rsidP="00285EFE">
      <w:pPr>
        <w:spacing w:after="0" w:line="240" w:lineRule="atLeast"/>
        <w:ind w:left="-142" w:right="-232"/>
        <w:jc w:val="both"/>
        <w:rPr>
          <w:rFonts w:ascii="Gotham Bold" w:eastAsia="Times New Roman" w:hAnsi="Gotham Bold" w:cs="Times New Roman"/>
          <w:b/>
          <w:bCs/>
          <w:color w:val="000000" w:themeColor="text1"/>
          <w:sz w:val="24"/>
          <w:szCs w:val="24"/>
        </w:rPr>
      </w:pPr>
      <w:r w:rsidRPr="00D73334">
        <w:rPr>
          <w:rFonts w:ascii="Gotham Bold" w:eastAsia="Times New Roman" w:hAnsi="Gotham Bold" w:cs="Times New Roman"/>
          <w:b/>
          <w:bCs/>
          <w:color w:val="000000" w:themeColor="text1"/>
          <w:sz w:val="24"/>
          <w:szCs w:val="24"/>
        </w:rPr>
        <w:t xml:space="preserve">P R E S E N T E </w:t>
      </w:r>
    </w:p>
    <w:p w14:paraId="0539C323" w14:textId="77777777" w:rsidR="00285EFE" w:rsidRPr="00D73334" w:rsidRDefault="00285EFE" w:rsidP="00285EFE">
      <w:pPr>
        <w:spacing w:after="0" w:line="240" w:lineRule="atLeast"/>
        <w:ind w:left="-142" w:right="-232"/>
        <w:jc w:val="both"/>
        <w:rPr>
          <w:rFonts w:ascii="Gotham" w:hAnsi="Gotham"/>
          <w:bCs/>
          <w:sz w:val="18"/>
          <w:szCs w:val="18"/>
        </w:rPr>
      </w:pPr>
    </w:p>
    <w:p w14:paraId="13FFC8BE" w14:textId="77777777" w:rsidR="00285EFE" w:rsidRPr="00D73334" w:rsidRDefault="00285EFE" w:rsidP="00285EFE">
      <w:pPr>
        <w:spacing w:after="0" w:line="240" w:lineRule="atLeast"/>
        <w:ind w:left="-142" w:right="-232"/>
        <w:jc w:val="both"/>
        <w:rPr>
          <w:rFonts w:ascii="Gotham" w:hAnsi="Gotham"/>
          <w:bCs/>
          <w:sz w:val="18"/>
          <w:szCs w:val="18"/>
        </w:rPr>
      </w:pPr>
    </w:p>
    <w:p w14:paraId="56C4EF3F" w14:textId="0C9BF457" w:rsidR="00285EFE" w:rsidRPr="00D73334" w:rsidRDefault="00285EFE" w:rsidP="00285EFE">
      <w:pPr>
        <w:spacing w:after="0" w:line="240" w:lineRule="atLeast"/>
        <w:ind w:left="-142" w:right="-232"/>
        <w:jc w:val="both"/>
        <w:rPr>
          <w:rFonts w:ascii="Gotham" w:hAnsi="Gotham"/>
          <w:bCs/>
          <w:sz w:val="18"/>
          <w:szCs w:val="18"/>
        </w:rPr>
      </w:pPr>
      <w:r w:rsidRPr="00D73334">
        <w:rPr>
          <w:rFonts w:ascii="Gotham" w:hAnsi="Gotham"/>
          <w:bCs/>
          <w:sz w:val="18"/>
          <w:szCs w:val="18"/>
        </w:rPr>
        <w:t xml:space="preserve">Con fundamento en lo dispuesto por los artículos 3 fracción XLIV, 46 fracción I, 50 y 51 de la Ley de Transparencia y Acceso a la Información Pública del Estado de México y Municipios; y, 59 de la Ley de Seguridad del Estado de México, el Secretariado Ejecutivo, órgano desconcentrado de la Secretaría de Seguridad del Estado de México, en atención a su solicitud de información </w:t>
      </w:r>
      <w:r w:rsidRPr="00D73334">
        <w:rPr>
          <w:rFonts w:ascii="Gotham" w:hAnsi="Gotham"/>
          <w:b/>
          <w:sz w:val="18"/>
          <w:szCs w:val="18"/>
        </w:rPr>
        <w:t>00146/SESESP/IP/2024</w:t>
      </w:r>
      <w:r w:rsidRPr="00D73334">
        <w:rPr>
          <w:rFonts w:ascii="Gotham" w:hAnsi="Gotham"/>
          <w:bCs/>
          <w:sz w:val="18"/>
          <w:szCs w:val="18"/>
        </w:rPr>
        <w:t>, recibida y registrada en el Sistema de Acceso a la Información Mexiquense (SAIMEX) de este Sujeto Obligado, el 05 de septiembre de 2024, que a la letra dice:</w:t>
      </w:r>
    </w:p>
    <w:p w14:paraId="5C1B3600" w14:textId="77777777" w:rsidR="00285EFE" w:rsidRPr="00D73334" w:rsidRDefault="00285EFE" w:rsidP="00285EFE">
      <w:pPr>
        <w:spacing w:after="0" w:line="240" w:lineRule="atLeast"/>
        <w:ind w:left="-142" w:right="-232"/>
        <w:jc w:val="both"/>
        <w:rPr>
          <w:rFonts w:ascii="Gotham" w:hAnsi="Gotham"/>
          <w:bCs/>
          <w:sz w:val="18"/>
          <w:szCs w:val="18"/>
        </w:rPr>
      </w:pPr>
    </w:p>
    <w:p w14:paraId="76F6406D" w14:textId="5C869E7B" w:rsidR="001D7DC3" w:rsidRPr="00D73334" w:rsidRDefault="00285EFE" w:rsidP="001D7DC3">
      <w:pPr>
        <w:spacing w:after="0" w:line="240" w:lineRule="atLeast"/>
        <w:ind w:left="-142" w:right="-232"/>
        <w:jc w:val="both"/>
        <w:rPr>
          <w:rFonts w:ascii="Gotham" w:hAnsi="Gotham"/>
          <w:bCs/>
          <w:i/>
          <w:iCs/>
          <w:sz w:val="18"/>
          <w:szCs w:val="18"/>
        </w:rPr>
      </w:pPr>
      <w:r w:rsidRPr="00D73334">
        <w:rPr>
          <w:rFonts w:ascii="Gotham" w:hAnsi="Gotham"/>
          <w:bCs/>
          <w:i/>
          <w:iCs/>
          <w:sz w:val="18"/>
          <w:szCs w:val="18"/>
        </w:rPr>
        <w:t>“</w:t>
      </w:r>
      <w:r w:rsidR="001D7DC3" w:rsidRPr="00D73334">
        <w:rPr>
          <w:rFonts w:ascii="Gotham" w:hAnsi="Gotham"/>
          <w:bCs/>
          <w:i/>
          <w:iCs/>
          <w:sz w:val="18"/>
          <w:szCs w:val="18"/>
        </w:rPr>
        <w:t>Por medio del presente, en ejercicio de mi derecho de acceso a la información pública conforme a lo dispuesto en la Ley de Transparencia y Acceso a la Información Pública del Estado de México, respetuosamente solicito la siguiente información relacionada con el servicio de telefonía pública para las personas privadas de la libertad en el sistema penitenciario estatal:</w:t>
      </w:r>
    </w:p>
    <w:p w14:paraId="60128BFC" w14:textId="77777777" w:rsidR="001D7DC3" w:rsidRPr="00D73334" w:rsidRDefault="001D7DC3" w:rsidP="001D7DC3">
      <w:pPr>
        <w:spacing w:after="0" w:line="240" w:lineRule="atLeast"/>
        <w:ind w:left="-142" w:right="-232"/>
        <w:jc w:val="both"/>
        <w:rPr>
          <w:rFonts w:ascii="Gotham" w:hAnsi="Gotham"/>
          <w:bCs/>
          <w:i/>
          <w:iCs/>
          <w:sz w:val="18"/>
          <w:szCs w:val="18"/>
        </w:rPr>
      </w:pPr>
      <w:r w:rsidRPr="00D73334">
        <w:rPr>
          <w:rFonts w:ascii="Gotham" w:hAnsi="Gotham"/>
          <w:bCs/>
          <w:i/>
          <w:iCs/>
          <w:sz w:val="18"/>
          <w:szCs w:val="18"/>
        </w:rPr>
        <w:t>Nombre del o los proveedores que actualmente ofrecen el servicio de telefonía pública en los centros penitenciarios del Estado de México.</w:t>
      </w:r>
    </w:p>
    <w:p w14:paraId="42911C16" w14:textId="77777777" w:rsidR="001D7DC3" w:rsidRPr="00D73334" w:rsidRDefault="001D7DC3" w:rsidP="001D7DC3">
      <w:pPr>
        <w:spacing w:after="0" w:line="240" w:lineRule="atLeast"/>
        <w:ind w:left="-142" w:right="-232"/>
        <w:jc w:val="both"/>
        <w:rPr>
          <w:rFonts w:ascii="Gotham" w:hAnsi="Gotham"/>
          <w:bCs/>
          <w:i/>
          <w:iCs/>
          <w:sz w:val="18"/>
          <w:szCs w:val="18"/>
        </w:rPr>
      </w:pPr>
      <w:r w:rsidRPr="00D73334">
        <w:rPr>
          <w:rFonts w:ascii="Gotham" w:hAnsi="Gotham"/>
          <w:bCs/>
          <w:i/>
          <w:iCs/>
          <w:sz w:val="18"/>
          <w:szCs w:val="18"/>
        </w:rPr>
        <w:t>Copia de los contratos o convenios celebrados con dichos proveedores para la prestación del servicio de telefonía pública en los centros penitenciarios.</w:t>
      </w:r>
    </w:p>
    <w:p w14:paraId="53EF5427" w14:textId="77777777" w:rsidR="001D7DC3" w:rsidRPr="00D73334" w:rsidRDefault="001D7DC3" w:rsidP="001D7DC3">
      <w:pPr>
        <w:spacing w:after="0" w:line="240" w:lineRule="atLeast"/>
        <w:ind w:left="-142" w:right="-232"/>
        <w:jc w:val="both"/>
        <w:rPr>
          <w:rFonts w:ascii="Gotham" w:hAnsi="Gotham"/>
          <w:bCs/>
          <w:i/>
          <w:iCs/>
          <w:sz w:val="18"/>
          <w:szCs w:val="18"/>
        </w:rPr>
      </w:pPr>
      <w:r w:rsidRPr="00D73334">
        <w:rPr>
          <w:rFonts w:ascii="Gotham" w:hAnsi="Gotham"/>
          <w:bCs/>
          <w:i/>
          <w:iCs/>
          <w:sz w:val="18"/>
          <w:szCs w:val="18"/>
        </w:rPr>
        <w:t>Un reporte detallado de las ventas de tiempo aire, ya sea a través de tarjetas de prepago o recargas, desde enero de 2024 hasta la fecha.</w:t>
      </w:r>
    </w:p>
    <w:p w14:paraId="7D97E0B8" w14:textId="083D918C" w:rsidR="001D7DC3" w:rsidRPr="00D73334" w:rsidRDefault="001D7DC3" w:rsidP="001D7DC3">
      <w:pPr>
        <w:spacing w:after="0" w:line="240" w:lineRule="atLeast"/>
        <w:ind w:left="-142" w:right="-232"/>
        <w:jc w:val="both"/>
        <w:rPr>
          <w:rFonts w:ascii="Gotham" w:hAnsi="Gotham"/>
          <w:bCs/>
          <w:i/>
          <w:iCs/>
          <w:sz w:val="18"/>
          <w:szCs w:val="18"/>
        </w:rPr>
      </w:pPr>
      <w:r w:rsidRPr="00D73334">
        <w:rPr>
          <w:rFonts w:ascii="Gotham" w:hAnsi="Gotham"/>
          <w:bCs/>
          <w:i/>
          <w:iCs/>
          <w:sz w:val="18"/>
          <w:szCs w:val="18"/>
        </w:rPr>
        <w:t>Detalle de los servicios que incluyen dichos proveedores en la prestación del servicio de telefonía pública, especificando cualquier servicio adicional o complementario al de llamadas.</w:t>
      </w:r>
    </w:p>
    <w:p w14:paraId="4694F30C" w14:textId="77777777" w:rsidR="001D7DC3" w:rsidRPr="00D73334" w:rsidRDefault="001D7DC3" w:rsidP="001D7DC3">
      <w:pPr>
        <w:spacing w:after="0" w:line="240" w:lineRule="atLeast"/>
        <w:ind w:left="-142" w:right="-232"/>
        <w:jc w:val="both"/>
        <w:rPr>
          <w:rFonts w:ascii="Gotham" w:hAnsi="Gotham"/>
          <w:bCs/>
          <w:i/>
          <w:iCs/>
          <w:sz w:val="18"/>
          <w:szCs w:val="18"/>
        </w:rPr>
      </w:pPr>
      <w:r w:rsidRPr="00D73334">
        <w:rPr>
          <w:rFonts w:ascii="Gotham" w:hAnsi="Gotham"/>
          <w:bCs/>
          <w:i/>
          <w:iCs/>
          <w:sz w:val="18"/>
          <w:szCs w:val="18"/>
        </w:rPr>
        <w:t>Cantidad total de teléfonos públicos en operación, desglosados por cada centro penitenciario del Estado de México.</w:t>
      </w:r>
    </w:p>
    <w:p w14:paraId="4D344E7D" w14:textId="3D056BE5" w:rsidR="00285EFE" w:rsidRPr="00D73334" w:rsidRDefault="001D7DC3" w:rsidP="00285EFE">
      <w:pPr>
        <w:spacing w:after="0" w:line="240" w:lineRule="atLeast"/>
        <w:ind w:left="-142" w:right="-232"/>
        <w:jc w:val="both"/>
        <w:rPr>
          <w:rFonts w:ascii="Gotham" w:hAnsi="Gotham"/>
          <w:bCs/>
          <w:sz w:val="18"/>
          <w:szCs w:val="18"/>
        </w:rPr>
      </w:pPr>
      <w:r w:rsidRPr="00D73334">
        <w:rPr>
          <w:rFonts w:ascii="Gotham" w:hAnsi="Gotham"/>
          <w:bCs/>
          <w:i/>
          <w:iCs/>
          <w:sz w:val="18"/>
          <w:szCs w:val="18"/>
        </w:rPr>
        <w:t>Agradezco de antemano la atención prestada a esta solicitud y quedo en espera de la información requerida dentro de los plazos establecidos por la ley.</w:t>
      </w:r>
      <w:r w:rsidR="00285EFE" w:rsidRPr="00D73334">
        <w:rPr>
          <w:rFonts w:ascii="Gotham" w:hAnsi="Gotham"/>
          <w:b/>
          <w:i/>
          <w:iCs/>
          <w:sz w:val="18"/>
          <w:szCs w:val="18"/>
        </w:rPr>
        <w:t>”</w:t>
      </w:r>
      <w:r w:rsidR="00285EFE" w:rsidRPr="00D73334">
        <w:rPr>
          <w:rFonts w:ascii="Gotham" w:hAnsi="Gotham"/>
          <w:bCs/>
          <w:i/>
          <w:iCs/>
          <w:sz w:val="18"/>
          <w:szCs w:val="18"/>
        </w:rPr>
        <w:t xml:space="preserve"> </w:t>
      </w:r>
      <w:r w:rsidR="00285EFE" w:rsidRPr="00D73334">
        <w:rPr>
          <w:rFonts w:ascii="Gotham" w:hAnsi="Gotham"/>
          <w:b/>
          <w:bCs/>
          <w:i/>
          <w:iCs/>
          <w:sz w:val="18"/>
          <w:szCs w:val="18"/>
        </w:rPr>
        <w:t>(sic).</w:t>
      </w:r>
    </w:p>
    <w:p w14:paraId="6AB3DFC8" w14:textId="77777777" w:rsidR="00285EFE" w:rsidRPr="00D73334" w:rsidRDefault="00285EFE" w:rsidP="00285EFE">
      <w:pPr>
        <w:spacing w:after="0" w:line="240" w:lineRule="atLeast"/>
        <w:ind w:left="-142" w:right="-232"/>
        <w:jc w:val="both"/>
        <w:rPr>
          <w:rFonts w:ascii="Gotham" w:hAnsi="Gotham" w:cs="Arial"/>
          <w:i/>
          <w:iCs/>
          <w:sz w:val="18"/>
          <w:szCs w:val="18"/>
        </w:rPr>
      </w:pPr>
    </w:p>
    <w:p w14:paraId="2711C292" w14:textId="77777777" w:rsidR="00285EFE" w:rsidRPr="00D73334" w:rsidRDefault="00285EFE" w:rsidP="00285EFE">
      <w:pPr>
        <w:spacing w:after="0" w:line="240" w:lineRule="atLeast"/>
        <w:ind w:left="-142" w:right="-232"/>
        <w:jc w:val="both"/>
        <w:rPr>
          <w:rFonts w:ascii="Gotham" w:hAnsi="Gotham"/>
          <w:b/>
          <w:sz w:val="18"/>
          <w:szCs w:val="18"/>
        </w:rPr>
      </w:pPr>
      <w:r w:rsidRPr="00D73334">
        <w:rPr>
          <w:rFonts w:ascii="Gotham" w:hAnsi="Gotham"/>
          <w:b/>
          <w:sz w:val="18"/>
          <w:szCs w:val="18"/>
        </w:rPr>
        <w:t>Competencia:</w:t>
      </w:r>
    </w:p>
    <w:p w14:paraId="6F6229DC" w14:textId="77777777" w:rsidR="00285EFE" w:rsidRPr="00D73334" w:rsidRDefault="00285EFE" w:rsidP="00285EFE">
      <w:pPr>
        <w:spacing w:after="0" w:line="240" w:lineRule="atLeast"/>
        <w:ind w:left="-142" w:right="-232"/>
        <w:jc w:val="both"/>
        <w:rPr>
          <w:rFonts w:ascii="Gotham" w:hAnsi="Gotham"/>
          <w:bCs/>
          <w:sz w:val="18"/>
          <w:szCs w:val="18"/>
        </w:rPr>
      </w:pPr>
    </w:p>
    <w:p w14:paraId="23ECE06C" w14:textId="77777777" w:rsidR="00285EFE" w:rsidRPr="00D73334" w:rsidRDefault="00285EFE" w:rsidP="00285EFE">
      <w:pPr>
        <w:spacing w:after="0" w:line="240" w:lineRule="atLeast"/>
        <w:ind w:left="-142" w:right="-232"/>
        <w:jc w:val="both"/>
        <w:rPr>
          <w:rFonts w:ascii="Gotham" w:hAnsi="Gotham"/>
          <w:bCs/>
          <w:sz w:val="18"/>
          <w:szCs w:val="18"/>
        </w:rPr>
      </w:pPr>
      <w:r w:rsidRPr="00D73334">
        <w:rPr>
          <w:rFonts w:ascii="Gotham" w:hAnsi="Gotham"/>
          <w:bCs/>
          <w:sz w:val="18"/>
          <w:szCs w:val="18"/>
        </w:rPr>
        <w:t xml:space="preserve">Al respecto, con fundamento en los artículos 1, 4, 53 fracción II y 167 de la Ley de Transparencia y Acceso a la Información Pública del Estado de México y Municipios; 61 de la Ley de Seguridad del Estado de México; 9 y 10 del Reglamento Interior del Secretariado Ejecutivo del Sistema Estatal de Seguridad Pública, me permito informar a Usted, que este Sujeto Obligado es </w:t>
      </w:r>
      <w:r w:rsidRPr="00D73334">
        <w:rPr>
          <w:rFonts w:ascii="Gotham" w:hAnsi="Gotham"/>
          <w:b/>
          <w:sz w:val="18"/>
          <w:szCs w:val="18"/>
        </w:rPr>
        <w:t>incompetente</w:t>
      </w:r>
      <w:r w:rsidRPr="00D73334">
        <w:rPr>
          <w:rFonts w:ascii="Gotham" w:hAnsi="Gotham"/>
          <w:bCs/>
          <w:sz w:val="18"/>
          <w:szCs w:val="18"/>
        </w:rPr>
        <w:t xml:space="preserve"> para dar respuesta a su solicitud, como se expondrá de manera fundada.</w:t>
      </w:r>
    </w:p>
    <w:p w14:paraId="516A60AE" w14:textId="77777777" w:rsidR="00285EFE" w:rsidRPr="00D73334" w:rsidRDefault="00285EFE" w:rsidP="00285EFE">
      <w:pPr>
        <w:spacing w:after="0" w:line="240" w:lineRule="atLeast"/>
        <w:ind w:left="-142" w:right="-232"/>
        <w:jc w:val="both"/>
        <w:rPr>
          <w:rFonts w:ascii="Gotham" w:hAnsi="Gotham"/>
          <w:bCs/>
          <w:sz w:val="18"/>
          <w:szCs w:val="18"/>
        </w:rPr>
      </w:pPr>
    </w:p>
    <w:p w14:paraId="790BDE0E" w14:textId="77777777" w:rsidR="00285EFE" w:rsidRPr="00D73334" w:rsidRDefault="00285EFE" w:rsidP="00285EFE">
      <w:pPr>
        <w:spacing w:after="0" w:line="240" w:lineRule="atLeast"/>
        <w:ind w:left="-142" w:right="-232"/>
        <w:jc w:val="both"/>
        <w:rPr>
          <w:rFonts w:ascii="Gotham" w:hAnsi="Gotham"/>
          <w:b/>
          <w:bCs/>
          <w:sz w:val="18"/>
          <w:szCs w:val="18"/>
        </w:rPr>
      </w:pPr>
      <w:r w:rsidRPr="00D73334">
        <w:rPr>
          <w:rFonts w:ascii="Gotham" w:hAnsi="Gotham"/>
          <w:b/>
          <w:bCs/>
          <w:sz w:val="18"/>
          <w:szCs w:val="18"/>
        </w:rPr>
        <w:t>Fundamentación y Motivación:</w:t>
      </w:r>
    </w:p>
    <w:p w14:paraId="5752C009" w14:textId="77777777" w:rsidR="00285EFE" w:rsidRPr="00D73334" w:rsidRDefault="00285EFE" w:rsidP="00285EFE">
      <w:pPr>
        <w:spacing w:after="0" w:line="240" w:lineRule="atLeast"/>
        <w:ind w:left="-142" w:right="-232"/>
        <w:jc w:val="both"/>
        <w:rPr>
          <w:rFonts w:ascii="Gotham" w:hAnsi="Gotham"/>
          <w:b/>
          <w:bCs/>
          <w:sz w:val="18"/>
          <w:szCs w:val="18"/>
        </w:rPr>
      </w:pPr>
    </w:p>
    <w:p w14:paraId="1C9E0A57" w14:textId="77777777" w:rsidR="00285EFE" w:rsidRPr="00D73334" w:rsidRDefault="00285EFE" w:rsidP="00285EFE">
      <w:pPr>
        <w:spacing w:after="0" w:line="240" w:lineRule="atLeast"/>
        <w:ind w:left="-142" w:right="-232"/>
        <w:jc w:val="both"/>
        <w:rPr>
          <w:rFonts w:ascii="Gotham" w:hAnsi="Gotham"/>
          <w:b/>
          <w:bCs/>
          <w:i/>
          <w:iCs/>
          <w:sz w:val="18"/>
          <w:szCs w:val="18"/>
        </w:rPr>
      </w:pPr>
      <w:r w:rsidRPr="00D73334">
        <w:rPr>
          <w:rFonts w:ascii="Gotham" w:hAnsi="Gotham"/>
          <w:b/>
          <w:bCs/>
          <w:i/>
          <w:iCs/>
          <w:sz w:val="18"/>
          <w:szCs w:val="18"/>
        </w:rPr>
        <w:t>“Artículo 167</w:t>
      </w:r>
      <w:r w:rsidRPr="00D73334">
        <w:rPr>
          <w:rFonts w:ascii="Gotham" w:hAnsi="Gotham"/>
          <w:i/>
          <w:iCs/>
          <w:sz w:val="18"/>
          <w:szCs w:val="18"/>
        </w:rPr>
        <w:t xml:space="preserve">. Cuando las unidades de transparencia determinen la </w:t>
      </w:r>
      <w:r w:rsidRPr="00D73334">
        <w:rPr>
          <w:rFonts w:ascii="Gotham" w:hAnsi="Gotham"/>
          <w:b/>
          <w:bCs/>
          <w:i/>
          <w:iCs/>
          <w:sz w:val="18"/>
          <w:szCs w:val="18"/>
        </w:rPr>
        <w:t>notoria incompetencia</w:t>
      </w:r>
      <w:r w:rsidRPr="00D73334">
        <w:rPr>
          <w:rFonts w:ascii="Gotham" w:hAnsi="Gotham"/>
          <w:i/>
          <w:iCs/>
          <w:sz w:val="18"/>
          <w:szCs w:val="18"/>
        </w:rPr>
        <w:t xml:space="preserve"> por parte de los sujetos obligados, dentro del ámbito de aplicación, para atender la solicitud de acceso a la información, </w:t>
      </w:r>
      <w:r w:rsidRPr="00D73334">
        <w:rPr>
          <w:rFonts w:ascii="Gotham" w:hAnsi="Gotham"/>
          <w:b/>
          <w:bCs/>
          <w:i/>
          <w:iCs/>
          <w:sz w:val="18"/>
          <w:szCs w:val="18"/>
        </w:rPr>
        <w:t xml:space="preserve">deberán comunicarlo al solicitante, dentro de los tres días hábiles posteriores a la recepción de la solicitud </w:t>
      </w:r>
      <w:r w:rsidRPr="00D73334">
        <w:rPr>
          <w:rFonts w:ascii="Gotham" w:hAnsi="Gotham"/>
          <w:i/>
          <w:iCs/>
          <w:sz w:val="18"/>
          <w:szCs w:val="18"/>
        </w:rPr>
        <w:t>y, en su caso orientar al solicitante, el o los sujetos obligados competentes.”</w:t>
      </w:r>
      <w:r w:rsidRPr="00D73334">
        <w:rPr>
          <w:rFonts w:ascii="Gotham" w:hAnsi="Gotham"/>
          <w:b/>
          <w:i/>
          <w:sz w:val="18"/>
          <w:szCs w:val="18"/>
        </w:rPr>
        <w:t xml:space="preserve"> (énfasis añadido)</w:t>
      </w:r>
    </w:p>
    <w:p w14:paraId="75FF62C0" w14:textId="77777777" w:rsidR="00285EFE" w:rsidRPr="00D73334" w:rsidRDefault="00285EFE" w:rsidP="00285EFE">
      <w:pPr>
        <w:spacing w:after="0" w:line="240" w:lineRule="atLeast"/>
        <w:ind w:left="-142" w:right="-232"/>
        <w:jc w:val="both"/>
        <w:rPr>
          <w:rFonts w:ascii="Gotham" w:hAnsi="Gotham"/>
          <w:sz w:val="18"/>
          <w:szCs w:val="18"/>
        </w:rPr>
      </w:pPr>
    </w:p>
    <w:p w14:paraId="617C53F6" w14:textId="77777777" w:rsidR="00285EFE" w:rsidRPr="00D73334" w:rsidRDefault="00285EFE" w:rsidP="00285EFE">
      <w:pPr>
        <w:spacing w:after="0" w:line="240" w:lineRule="atLeast"/>
        <w:ind w:left="-142" w:right="-232"/>
        <w:jc w:val="both"/>
        <w:rPr>
          <w:rFonts w:ascii="Gotham" w:hAnsi="Gotham"/>
          <w:sz w:val="18"/>
          <w:szCs w:val="18"/>
        </w:rPr>
      </w:pPr>
      <w:r w:rsidRPr="00D73334">
        <w:rPr>
          <w:rFonts w:ascii="Gotham" w:hAnsi="Gotham"/>
          <w:sz w:val="18"/>
          <w:szCs w:val="18"/>
        </w:rPr>
        <w:lastRenderedPageBreak/>
        <w:t>También el criterio número 13/17 del Instituto Nacional de Transparencia y Acceso a la Información y Protección de Datos Personales (INAI), permite ampliar la interpretación de esta disposición de la materia:</w:t>
      </w:r>
    </w:p>
    <w:p w14:paraId="79ADFA14" w14:textId="77777777" w:rsidR="00285EFE" w:rsidRPr="00D73334" w:rsidRDefault="00285EFE" w:rsidP="00285EFE">
      <w:pPr>
        <w:spacing w:after="0" w:line="240" w:lineRule="atLeast"/>
        <w:ind w:left="-142" w:right="-232"/>
        <w:jc w:val="both"/>
        <w:rPr>
          <w:rFonts w:ascii="Gotham" w:hAnsi="Gotham"/>
          <w:sz w:val="18"/>
          <w:szCs w:val="18"/>
        </w:rPr>
      </w:pPr>
    </w:p>
    <w:p w14:paraId="225FB8D2" w14:textId="77777777" w:rsidR="00285EFE" w:rsidRPr="00D73334" w:rsidRDefault="00285EFE" w:rsidP="00285EFE">
      <w:pPr>
        <w:spacing w:after="0" w:line="240" w:lineRule="atLeast"/>
        <w:ind w:left="-142" w:right="-232"/>
        <w:jc w:val="both"/>
        <w:rPr>
          <w:rFonts w:ascii="Gotham" w:hAnsi="Gotham"/>
          <w:b/>
          <w:bCs/>
          <w:i/>
          <w:iCs/>
          <w:sz w:val="18"/>
          <w:szCs w:val="18"/>
        </w:rPr>
      </w:pPr>
      <w:r w:rsidRPr="00D73334">
        <w:rPr>
          <w:rFonts w:ascii="Gotham" w:hAnsi="Gotham"/>
          <w:b/>
          <w:bCs/>
          <w:i/>
          <w:iCs/>
          <w:sz w:val="18"/>
          <w:szCs w:val="18"/>
        </w:rPr>
        <w:t xml:space="preserve">“Incompetencia. </w:t>
      </w:r>
      <w:r w:rsidRPr="00D73334">
        <w:rPr>
          <w:rFonts w:ascii="Gotham" w:hAnsi="Gotham"/>
          <w:i/>
          <w:iCs/>
          <w:sz w:val="18"/>
          <w:szCs w:val="18"/>
        </w:rPr>
        <w:t xml:space="preserve">La incompetencia implica la ausencia de atribuciones del sujeto obligado para poseer la información solicitada; es decir, se trata de una cuestión de derecho, en tanto que </w:t>
      </w:r>
      <w:r w:rsidRPr="00D73334">
        <w:rPr>
          <w:rFonts w:ascii="Gotham" w:hAnsi="Gotham"/>
          <w:b/>
          <w:bCs/>
          <w:i/>
          <w:iCs/>
          <w:sz w:val="18"/>
          <w:szCs w:val="18"/>
        </w:rPr>
        <w:t>no existan facultades para contar con lo requerido</w:t>
      </w:r>
      <w:r w:rsidRPr="00D73334">
        <w:rPr>
          <w:rFonts w:ascii="Gotham" w:hAnsi="Gotham"/>
          <w:i/>
          <w:iCs/>
          <w:sz w:val="18"/>
          <w:szCs w:val="18"/>
        </w:rPr>
        <w:t>; por lo que la incompetencia es una cualidad atribuida al sujeto obligado que la declara.</w:t>
      </w:r>
      <w:r w:rsidRPr="00D73334">
        <w:rPr>
          <w:rFonts w:ascii="Gotham" w:hAnsi="Gotham"/>
          <w:b/>
          <w:bCs/>
          <w:i/>
          <w:iCs/>
          <w:sz w:val="18"/>
          <w:szCs w:val="18"/>
        </w:rPr>
        <w:t xml:space="preserve"> </w:t>
      </w:r>
    </w:p>
    <w:p w14:paraId="4D4204F7" w14:textId="77777777" w:rsidR="00285EFE" w:rsidRPr="00D73334" w:rsidRDefault="00285EFE" w:rsidP="00285EFE">
      <w:pPr>
        <w:spacing w:after="0" w:line="240" w:lineRule="atLeast"/>
        <w:ind w:left="-142" w:right="-232"/>
        <w:jc w:val="both"/>
        <w:rPr>
          <w:rFonts w:ascii="Gotham" w:hAnsi="Gotham"/>
          <w:b/>
          <w:bCs/>
          <w:i/>
          <w:iCs/>
          <w:sz w:val="18"/>
          <w:szCs w:val="18"/>
        </w:rPr>
      </w:pPr>
    </w:p>
    <w:p w14:paraId="78C545CD" w14:textId="77777777" w:rsidR="00285EFE" w:rsidRPr="00D73334" w:rsidRDefault="00285EFE" w:rsidP="00285EFE">
      <w:pPr>
        <w:spacing w:after="0" w:line="240" w:lineRule="atLeast"/>
        <w:ind w:left="-142" w:right="-232"/>
        <w:jc w:val="both"/>
        <w:rPr>
          <w:rFonts w:ascii="Gotham" w:hAnsi="Gotham"/>
          <w:b/>
          <w:bCs/>
          <w:i/>
          <w:iCs/>
          <w:sz w:val="18"/>
          <w:szCs w:val="18"/>
        </w:rPr>
      </w:pPr>
      <w:r w:rsidRPr="00D73334">
        <w:rPr>
          <w:rFonts w:ascii="Gotham" w:hAnsi="Gotham"/>
          <w:b/>
          <w:bCs/>
          <w:i/>
          <w:iCs/>
          <w:sz w:val="18"/>
          <w:szCs w:val="18"/>
        </w:rPr>
        <w:t xml:space="preserve">Resoluciones: </w:t>
      </w:r>
    </w:p>
    <w:p w14:paraId="6AB971BF" w14:textId="77777777" w:rsidR="00285EFE" w:rsidRPr="00D73334" w:rsidRDefault="00285EFE" w:rsidP="00285EFE">
      <w:pPr>
        <w:spacing w:after="0" w:line="240" w:lineRule="atLeast"/>
        <w:ind w:left="-142" w:right="-232"/>
        <w:jc w:val="both"/>
        <w:rPr>
          <w:rFonts w:ascii="Gotham" w:hAnsi="Gotham"/>
          <w:i/>
          <w:iCs/>
          <w:sz w:val="18"/>
          <w:szCs w:val="18"/>
        </w:rPr>
      </w:pPr>
      <w:r w:rsidRPr="00D73334">
        <w:rPr>
          <w:rFonts w:ascii="Gotham" w:hAnsi="Gotham"/>
          <w:b/>
          <w:bCs/>
          <w:i/>
          <w:iCs/>
          <w:sz w:val="18"/>
          <w:szCs w:val="18"/>
        </w:rPr>
        <w:t>• RRA 4437/16.</w:t>
      </w:r>
      <w:r w:rsidRPr="00D73334">
        <w:rPr>
          <w:rFonts w:ascii="Gotham" w:hAnsi="Gotham"/>
          <w:i/>
          <w:iCs/>
          <w:sz w:val="18"/>
          <w:szCs w:val="18"/>
        </w:rPr>
        <w:t xml:space="preserve"> Secretaría de Hacienda y Crédito Público. 25 de enero de 2017. Por unanimidad. Comisionada Ponente Ximena Puente de la Mora.</w:t>
      </w:r>
    </w:p>
    <w:p w14:paraId="674D937C" w14:textId="77777777" w:rsidR="00285EFE" w:rsidRPr="00D73334" w:rsidRDefault="00285EFE" w:rsidP="00285EFE">
      <w:pPr>
        <w:spacing w:after="0" w:line="240" w:lineRule="atLeast"/>
        <w:ind w:left="-142" w:right="-232"/>
        <w:jc w:val="both"/>
        <w:rPr>
          <w:rFonts w:ascii="Gotham" w:hAnsi="Gotham"/>
          <w:i/>
          <w:iCs/>
          <w:sz w:val="18"/>
          <w:szCs w:val="18"/>
        </w:rPr>
      </w:pPr>
      <w:r w:rsidRPr="00D73334">
        <w:rPr>
          <w:rFonts w:ascii="Gotham" w:hAnsi="Gotham"/>
          <w:b/>
          <w:bCs/>
          <w:i/>
          <w:iCs/>
          <w:sz w:val="18"/>
          <w:szCs w:val="18"/>
        </w:rPr>
        <w:t>• RRA 4401/16</w:t>
      </w:r>
      <w:r w:rsidRPr="00D73334">
        <w:rPr>
          <w:rFonts w:ascii="Gotham" w:hAnsi="Gotham"/>
          <w:i/>
          <w:iCs/>
          <w:sz w:val="18"/>
          <w:szCs w:val="18"/>
        </w:rPr>
        <w:t xml:space="preserve">. Secretaría de Medio Ambiente y Recursos Naturales. 01 de febrero de 2017. Por unanimidad. Comisionado Ponente </w:t>
      </w:r>
      <w:proofErr w:type="spellStart"/>
      <w:r w:rsidRPr="00D73334">
        <w:rPr>
          <w:rFonts w:ascii="Gotham" w:hAnsi="Gotham"/>
          <w:i/>
          <w:iCs/>
          <w:sz w:val="18"/>
          <w:szCs w:val="18"/>
        </w:rPr>
        <w:t>Rosendoevgueni</w:t>
      </w:r>
      <w:proofErr w:type="spellEnd"/>
      <w:r w:rsidRPr="00D73334">
        <w:rPr>
          <w:rFonts w:ascii="Gotham" w:hAnsi="Gotham"/>
          <w:i/>
          <w:iCs/>
          <w:sz w:val="18"/>
          <w:szCs w:val="18"/>
        </w:rPr>
        <w:t xml:space="preserve"> Monterrey </w:t>
      </w:r>
      <w:proofErr w:type="spellStart"/>
      <w:r w:rsidRPr="00D73334">
        <w:rPr>
          <w:rFonts w:ascii="Gotham" w:hAnsi="Gotham"/>
          <w:i/>
          <w:iCs/>
          <w:sz w:val="18"/>
          <w:szCs w:val="18"/>
        </w:rPr>
        <w:t>Chepov</w:t>
      </w:r>
      <w:proofErr w:type="spellEnd"/>
      <w:r w:rsidRPr="00D73334">
        <w:rPr>
          <w:rFonts w:ascii="Gotham" w:hAnsi="Gotham"/>
          <w:i/>
          <w:iCs/>
          <w:sz w:val="18"/>
          <w:szCs w:val="18"/>
        </w:rPr>
        <w:t xml:space="preserve">. </w:t>
      </w:r>
    </w:p>
    <w:p w14:paraId="261FF9DA" w14:textId="77777777" w:rsidR="00285EFE" w:rsidRPr="00D73334" w:rsidRDefault="00285EFE" w:rsidP="00285EFE">
      <w:pPr>
        <w:spacing w:after="0" w:line="240" w:lineRule="atLeast"/>
        <w:ind w:left="-142" w:right="-232"/>
        <w:jc w:val="both"/>
        <w:rPr>
          <w:rFonts w:ascii="Gotham" w:hAnsi="Gotham"/>
          <w:i/>
          <w:iCs/>
          <w:sz w:val="18"/>
          <w:szCs w:val="18"/>
        </w:rPr>
      </w:pPr>
      <w:r w:rsidRPr="00D73334">
        <w:rPr>
          <w:rFonts w:ascii="Gotham" w:hAnsi="Gotham"/>
          <w:b/>
          <w:bCs/>
          <w:i/>
          <w:iCs/>
          <w:sz w:val="18"/>
          <w:szCs w:val="18"/>
        </w:rPr>
        <w:t>• RRA 0539/17.</w:t>
      </w:r>
      <w:r w:rsidRPr="00D73334">
        <w:rPr>
          <w:rFonts w:ascii="Gotham" w:hAnsi="Gotham"/>
          <w:i/>
          <w:iCs/>
          <w:sz w:val="18"/>
          <w:szCs w:val="18"/>
        </w:rPr>
        <w:t xml:space="preserve"> Secretaría de Economía. 01 de marzo de 2017. Por unanimidad. Comisionado Ponente Joel Salas Suárez.” </w:t>
      </w:r>
      <w:r w:rsidRPr="00D73334">
        <w:rPr>
          <w:rFonts w:ascii="Gotham" w:hAnsi="Gotham"/>
          <w:b/>
          <w:i/>
          <w:sz w:val="18"/>
          <w:szCs w:val="18"/>
        </w:rPr>
        <w:t>(énfasis añadido)</w:t>
      </w:r>
    </w:p>
    <w:p w14:paraId="33C0F910" w14:textId="77777777" w:rsidR="00285EFE" w:rsidRPr="00D73334" w:rsidRDefault="00285EFE" w:rsidP="00285EFE">
      <w:pPr>
        <w:spacing w:after="0" w:line="240" w:lineRule="atLeast"/>
        <w:ind w:left="-142" w:right="-232"/>
        <w:jc w:val="both"/>
        <w:rPr>
          <w:rFonts w:ascii="Gotham" w:hAnsi="Gotham"/>
          <w:sz w:val="18"/>
          <w:szCs w:val="18"/>
        </w:rPr>
      </w:pPr>
    </w:p>
    <w:p w14:paraId="0D1F9EA0" w14:textId="77777777" w:rsidR="00285EFE" w:rsidRPr="00D73334" w:rsidRDefault="00285EFE" w:rsidP="00285EFE">
      <w:pPr>
        <w:spacing w:after="0" w:line="240" w:lineRule="atLeast"/>
        <w:ind w:left="-142" w:right="-232"/>
        <w:jc w:val="both"/>
        <w:rPr>
          <w:rFonts w:ascii="Gotham" w:hAnsi="Gotham"/>
          <w:sz w:val="18"/>
          <w:szCs w:val="18"/>
        </w:rPr>
      </w:pPr>
      <w:r w:rsidRPr="00D73334">
        <w:rPr>
          <w:rFonts w:ascii="Gotham" w:hAnsi="Gotham"/>
          <w:sz w:val="18"/>
          <w:szCs w:val="18"/>
        </w:rPr>
        <w:t>Así como el artículo 143 de la Constitución Política del Estado Libre y Soberano de México, que a la letra señala:</w:t>
      </w:r>
    </w:p>
    <w:p w14:paraId="1115225D" w14:textId="77777777" w:rsidR="00285EFE" w:rsidRPr="00D73334" w:rsidRDefault="00285EFE" w:rsidP="00285EFE">
      <w:pPr>
        <w:spacing w:after="0" w:line="240" w:lineRule="atLeast"/>
        <w:ind w:left="-142" w:right="-232"/>
        <w:jc w:val="both"/>
        <w:rPr>
          <w:rFonts w:ascii="Gotham" w:hAnsi="Gotham"/>
          <w:sz w:val="18"/>
          <w:szCs w:val="18"/>
        </w:rPr>
      </w:pPr>
    </w:p>
    <w:p w14:paraId="72D41323" w14:textId="77777777" w:rsidR="00285EFE" w:rsidRPr="00D73334" w:rsidRDefault="00285EFE" w:rsidP="00285EFE">
      <w:pPr>
        <w:spacing w:after="0" w:line="240" w:lineRule="atLeast"/>
        <w:ind w:left="-142" w:right="-232"/>
        <w:jc w:val="both"/>
        <w:rPr>
          <w:rFonts w:ascii="Gotham" w:hAnsi="Gotham"/>
          <w:b/>
          <w:i/>
          <w:sz w:val="18"/>
          <w:szCs w:val="18"/>
        </w:rPr>
      </w:pPr>
      <w:r w:rsidRPr="00D73334">
        <w:rPr>
          <w:rFonts w:ascii="Gotham" w:hAnsi="Gotham"/>
          <w:b/>
          <w:bCs/>
          <w:i/>
          <w:iCs/>
          <w:sz w:val="18"/>
          <w:szCs w:val="18"/>
        </w:rPr>
        <w:t>“Artículo 143.-</w:t>
      </w:r>
      <w:r w:rsidRPr="00D73334">
        <w:rPr>
          <w:rFonts w:ascii="Gotham" w:hAnsi="Gotham"/>
          <w:i/>
          <w:iCs/>
          <w:sz w:val="18"/>
          <w:szCs w:val="18"/>
        </w:rPr>
        <w:t xml:space="preserve"> </w:t>
      </w:r>
      <w:r w:rsidRPr="00D73334">
        <w:rPr>
          <w:rFonts w:ascii="Gotham" w:hAnsi="Gotham"/>
          <w:b/>
          <w:bCs/>
          <w:i/>
          <w:iCs/>
          <w:sz w:val="18"/>
          <w:szCs w:val="18"/>
        </w:rPr>
        <w:t>Las autoridades del Estado sólo tienen las facultades que expresamente les confieren las leyes y otros ordenamientos jurídicos.”</w:t>
      </w:r>
      <w:r w:rsidRPr="00D73334">
        <w:rPr>
          <w:rFonts w:ascii="Gotham" w:hAnsi="Gotham"/>
          <w:b/>
          <w:i/>
          <w:sz w:val="18"/>
          <w:szCs w:val="18"/>
        </w:rPr>
        <w:t xml:space="preserve"> (énfasis añadido)</w:t>
      </w:r>
    </w:p>
    <w:p w14:paraId="1ACBBECE" w14:textId="77777777" w:rsidR="00D73334" w:rsidRPr="00D73334" w:rsidRDefault="00D73334" w:rsidP="00285EFE">
      <w:pPr>
        <w:spacing w:after="0" w:line="240" w:lineRule="atLeast"/>
        <w:ind w:left="-142" w:right="-232"/>
        <w:jc w:val="both"/>
        <w:rPr>
          <w:rFonts w:ascii="Gotham" w:hAnsi="Gotham"/>
          <w:b/>
          <w:bCs/>
          <w:i/>
          <w:iCs/>
          <w:sz w:val="18"/>
          <w:szCs w:val="18"/>
        </w:rPr>
      </w:pPr>
    </w:p>
    <w:p w14:paraId="4CEF1F40" w14:textId="5C4708B7" w:rsidR="00285EFE" w:rsidRPr="00D73334" w:rsidRDefault="00285EFE" w:rsidP="00285EFE">
      <w:pPr>
        <w:spacing w:after="0" w:line="240" w:lineRule="atLeast"/>
        <w:ind w:left="-142" w:right="-232"/>
        <w:jc w:val="both"/>
        <w:rPr>
          <w:rFonts w:ascii="Gotham" w:hAnsi="Gotham"/>
          <w:bCs/>
          <w:sz w:val="18"/>
          <w:szCs w:val="18"/>
        </w:rPr>
      </w:pPr>
      <w:r w:rsidRPr="00D73334">
        <w:rPr>
          <w:rFonts w:ascii="Gotham" w:hAnsi="Gotham"/>
          <w:bCs/>
          <w:iCs/>
          <w:sz w:val="18"/>
          <w:szCs w:val="18"/>
        </w:rPr>
        <w:t>Una vez analizada su solicitud de información, y derivado del oficio 206B0111000100L/</w:t>
      </w:r>
      <w:r w:rsidR="00D73334" w:rsidRPr="00D73334">
        <w:rPr>
          <w:rFonts w:ascii="Gotham" w:hAnsi="Gotham"/>
          <w:bCs/>
          <w:iCs/>
          <w:sz w:val="18"/>
          <w:szCs w:val="18"/>
        </w:rPr>
        <w:t>DGCIE</w:t>
      </w:r>
      <w:r w:rsidRPr="00D73334">
        <w:rPr>
          <w:rFonts w:ascii="Gotham" w:hAnsi="Gotham"/>
          <w:bCs/>
          <w:iCs/>
          <w:sz w:val="18"/>
          <w:szCs w:val="18"/>
        </w:rPr>
        <w:t>/1</w:t>
      </w:r>
      <w:r w:rsidR="00D73334" w:rsidRPr="00D73334">
        <w:rPr>
          <w:rFonts w:ascii="Gotham" w:hAnsi="Gotham"/>
          <w:bCs/>
          <w:iCs/>
          <w:sz w:val="18"/>
          <w:szCs w:val="18"/>
        </w:rPr>
        <w:t>94</w:t>
      </w:r>
      <w:r w:rsidRPr="00D73334">
        <w:rPr>
          <w:rFonts w:ascii="Gotham" w:hAnsi="Gotham"/>
          <w:bCs/>
          <w:iCs/>
          <w:sz w:val="18"/>
          <w:szCs w:val="18"/>
        </w:rPr>
        <w:t xml:space="preserve">/2024, signado por la </w:t>
      </w:r>
      <w:r w:rsidR="00D73334" w:rsidRPr="00D73334">
        <w:rPr>
          <w:rFonts w:ascii="Gotham" w:hAnsi="Gotham"/>
          <w:bCs/>
          <w:iCs/>
          <w:sz w:val="18"/>
          <w:szCs w:val="18"/>
        </w:rPr>
        <w:t xml:space="preserve">Encargada del Despacho de la </w:t>
      </w:r>
      <w:r w:rsidRPr="00D73334">
        <w:rPr>
          <w:rFonts w:ascii="Gotham" w:hAnsi="Gotham"/>
          <w:bCs/>
          <w:iCs/>
          <w:sz w:val="18"/>
          <w:szCs w:val="18"/>
        </w:rPr>
        <w:t xml:space="preserve">Dirección General del Centro de Información y Estadística, y Servidora Pública Habilitada; este Sujeto Obligado </w:t>
      </w:r>
      <w:r w:rsidRPr="00D73334">
        <w:rPr>
          <w:rFonts w:ascii="Gotham" w:hAnsi="Gotham"/>
          <w:bCs/>
          <w:sz w:val="18"/>
          <w:szCs w:val="18"/>
        </w:rPr>
        <w:t xml:space="preserve">es </w:t>
      </w:r>
      <w:r w:rsidRPr="00D73334">
        <w:rPr>
          <w:rFonts w:ascii="Gotham" w:hAnsi="Gotham"/>
          <w:b/>
          <w:bCs/>
          <w:sz w:val="18"/>
          <w:szCs w:val="18"/>
        </w:rPr>
        <w:t>incompetente</w:t>
      </w:r>
      <w:r w:rsidRPr="00D73334">
        <w:rPr>
          <w:rFonts w:ascii="Gotham" w:hAnsi="Gotham"/>
          <w:bCs/>
          <w:sz w:val="18"/>
          <w:szCs w:val="18"/>
        </w:rPr>
        <w:t xml:space="preserve"> para atender su solicitud de información.</w:t>
      </w:r>
    </w:p>
    <w:p w14:paraId="0C8EA5B5" w14:textId="77777777" w:rsidR="00285EFE" w:rsidRPr="00D73334" w:rsidRDefault="00285EFE" w:rsidP="00285EFE">
      <w:pPr>
        <w:spacing w:after="0" w:line="240" w:lineRule="atLeast"/>
        <w:ind w:left="-142" w:right="-232"/>
        <w:jc w:val="both"/>
        <w:rPr>
          <w:rFonts w:ascii="Gotham" w:hAnsi="Gotham"/>
          <w:bCs/>
          <w:sz w:val="18"/>
          <w:szCs w:val="18"/>
        </w:rPr>
      </w:pPr>
    </w:p>
    <w:p w14:paraId="5777C0DB" w14:textId="77777777" w:rsidR="00285EFE" w:rsidRPr="00D73334" w:rsidRDefault="00285EFE" w:rsidP="00285EFE">
      <w:pPr>
        <w:spacing w:after="0" w:line="240" w:lineRule="atLeast"/>
        <w:ind w:left="-142" w:right="-232"/>
        <w:jc w:val="both"/>
        <w:rPr>
          <w:rFonts w:ascii="Gotham" w:hAnsi="Gotham"/>
          <w:bCs/>
          <w:sz w:val="18"/>
          <w:szCs w:val="18"/>
        </w:rPr>
      </w:pPr>
      <w:r w:rsidRPr="00D73334">
        <w:rPr>
          <w:rFonts w:ascii="Gotham" w:hAnsi="Gotham"/>
          <w:bCs/>
          <w:sz w:val="18"/>
          <w:szCs w:val="18"/>
        </w:rPr>
        <w:t xml:space="preserve">Lo anterior, con fundamento en los artículos 59, 61 y 63 de la Ley de Seguridad del Estado de México; 9 y 10 del Reglamento Interior del Secretariado Ejecutivo del Sistema Estatal de Seguridad Pública; y, al Manual General de Organización del Secretariado Ejecutivo del Sistema Estatal de Seguridad Pública, </w:t>
      </w:r>
      <w:r w:rsidRPr="00D73334">
        <w:rPr>
          <w:rFonts w:ascii="Gotham" w:hAnsi="Gotham"/>
          <w:b/>
          <w:sz w:val="18"/>
          <w:szCs w:val="18"/>
        </w:rPr>
        <w:t>los cuales disponen las atribuciones y funciones de la Dirección General del Centro de Información y Estadística</w:t>
      </w:r>
      <w:r w:rsidRPr="00D73334">
        <w:rPr>
          <w:rFonts w:ascii="Gotham" w:hAnsi="Gotham"/>
          <w:bCs/>
          <w:sz w:val="18"/>
          <w:szCs w:val="18"/>
        </w:rPr>
        <w:t xml:space="preserve"> del Secretariado Ejecutivo del Sistema Estatal de Seguridad Pública.</w:t>
      </w:r>
    </w:p>
    <w:p w14:paraId="282E82ED" w14:textId="77777777" w:rsidR="00285EFE" w:rsidRPr="00D73334" w:rsidRDefault="00285EFE" w:rsidP="00285EFE">
      <w:pPr>
        <w:spacing w:after="0" w:line="240" w:lineRule="atLeast"/>
        <w:ind w:left="-142" w:right="-232"/>
        <w:jc w:val="both"/>
        <w:rPr>
          <w:rFonts w:ascii="Gotham" w:hAnsi="Gotham"/>
          <w:bCs/>
          <w:sz w:val="18"/>
          <w:szCs w:val="18"/>
        </w:rPr>
      </w:pPr>
    </w:p>
    <w:p w14:paraId="1B61911F" w14:textId="522D360B" w:rsidR="00285EFE" w:rsidRPr="00D73334" w:rsidRDefault="00285EFE" w:rsidP="00285EFE">
      <w:pPr>
        <w:spacing w:after="0" w:line="240" w:lineRule="atLeast"/>
        <w:ind w:left="-142" w:right="-232"/>
        <w:jc w:val="both"/>
        <w:rPr>
          <w:rFonts w:ascii="Gotham" w:hAnsi="Gotham"/>
          <w:bCs/>
          <w:sz w:val="18"/>
          <w:szCs w:val="18"/>
        </w:rPr>
      </w:pPr>
      <w:r w:rsidRPr="00D73334">
        <w:rPr>
          <w:rFonts w:ascii="Gotham" w:hAnsi="Gotham"/>
          <w:bCs/>
          <w:sz w:val="18"/>
          <w:szCs w:val="18"/>
        </w:rPr>
        <w:t>Por lo tanto, se cita el fundamento de las Instancia generadora de la información solicitada, que pudiera proporcionarle más información:</w:t>
      </w:r>
    </w:p>
    <w:p w14:paraId="09090FA2" w14:textId="77777777" w:rsidR="00285EFE" w:rsidRPr="00D73334" w:rsidRDefault="00285EFE" w:rsidP="00285EFE">
      <w:pPr>
        <w:spacing w:after="0" w:line="240" w:lineRule="atLeast"/>
        <w:ind w:left="-142" w:right="-232"/>
        <w:jc w:val="both"/>
        <w:rPr>
          <w:rFonts w:ascii="Gotham" w:hAnsi="Gotham"/>
          <w:bCs/>
          <w:sz w:val="18"/>
          <w:szCs w:val="18"/>
        </w:rPr>
      </w:pPr>
    </w:p>
    <w:p w14:paraId="1EC4E23D" w14:textId="77777777" w:rsidR="00D73334" w:rsidRPr="00D73334" w:rsidRDefault="00D73334" w:rsidP="00D73334">
      <w:pPr>
        <w:spacing w:after="0" w:line="240" w:lineRule="atLeast"/>
        <w:ind w:left="-142" w:right="-232"/>
        <w:jc w:val="center"/>
        <w:rPr>
          <w:rFonts w:ascii="Gotham" w:hAnsi="Gotham"/>
          <w:b/>
          <w:bCs/>
          <w:i/>
          <w:iCs/>
          <w:sz w:val="18"/>
          <w:szCs w:val="18"/>
        </w:rPr>
      </w:pPr>
      <w:r w:rsidRPr="00D73334">
        <w:rPr>
          <w:rFonts w:ascii="Gotham" w:hAnsi="Gotham"/>
          <w:b/>
          <w:bCs/>
          <w:i/>
          <w:iCs/>
          <w:sz w:val="18"/>
          <w:szCs w:val="18"/>
        </w:rPr>
        <w:t>“Reglamento Interior de la Secretaría de Seguridad”</w:t>
      </w:r>
    </w:p>
    <w:p w14:paraId="0227FB3B" w14:textId="77777777" w:rsidR="00D73334" w:rsidRPr="00D73334" w:rsidRDefault="00D73334" w:rsidP="00D73334">
      <w:pPr>
        <w:spacing w:after="0" w:line="240" w:lineRule="atLeast"/>
        <w:ind w:left="-142" w:right="-232"/>
        <w:jc w:val="both"/>
        <w:rPr>
          <w:rFonts w:ascii="Gotham" w:hAnsi="Gotham"/>
          <w:b/>
          <w:bCs/>
          <w:i/>
          <w:iCs/>
          <w:sz w:val="18"/>
          <w:szCs w:val="18"/>
        </w:rPr>
      </w:pPr>
    </w:p>
    <w:p w14:paraId="52DDBB55" w14:textId="77777777" w:rsidR="00D73334" w:rsidRPr="00D73334" w:rsidRDefault="00D73334" w:rsidP="00D73334">
      <w:pPr>
        <w:spacing w:after="0" w:line="240" w:lineRule="atLeast"/>
        <w:ind w:left="-142" w:right="-232"/>
        <w:jc w:val="both"/>
        <w:rPr>
          <w:rFonts w:ascii="Gotham" w:hAnsi="Gotham"/>
          <w:i/>
          <w:iCs/>
          <w:sz w:val="18"/>
          <w:szCs w:val="18"/>
        </w:rPr>
      </w:pPr>
      <w:r w:rsidRPr="00D73334">
        <w:rPr>
          <w:rFonts w:ascii="Gotham" w:hAnsi="Gotham"/>
          <w:b/>
          <w:bCs/>
          <w:i/>
          <w:iCs/>
          <w:sz w:val="18"/>
          <w:szCs w:val="18"/>
        </w:rPr>
        <w:t>“Artículo 1</w:t>
      </w:r>
      <w:r w:rsidRPr="00D73334">
        <w:rPr>
          <w:rFonts w:ascii="Gotham" w:hAnsi="Gotham"/>
          <w:i/>
          <w:iCs/>
          <w:sz w:val="18"/>
          <w:szCs w:val="18"/>
        </w:rPr>
        <w:t>. El presente Reglamento Interior es de orden público, interés social y observancia general y tiene por objeto regular la organización, atribuciones, funcionamiento y las relaciones jerárquicas de cada una de las unidades administrativas de la Secretaría de Seguridad.”</w:t>
      </w:r>
      <w:r w:rsidRPr="00D73334">
        <w:rPr>
          <w:rFonts w:ascii="Gotham" w:hAnsi="Gotham"/>
          <w:b/>
          <w:bCs/>
          <w:i/>
          <w:iCs/>
          <w:sz w:val="18"/>
          <w:szCs w:val="18"/>
        </w:rPr>
        <w:t xml:space="preserve"> (Énfasis Añadido)</w:t>
      </w:r>
    </w:p>
    <w:p w14:paraId="1F688EDD" w14:textId="77777777" w:rsidR="00D73334" w:rsidRPr="00D73334" w:rsidRDefault="00D73334" w:rsidP="00D73334">
      <w:pPr>
        <w:spacing w:after="0" w:line="240" w:lineRule="atLeast"/>
        <w:ind w:left="-142" w:right="-232"/>
        <w:jc w:val="both"/>
        <w:rPr>
          <w:rFonts w:ascii="Gotham" w:hAnsi="Gotham"/>
          <w:i/>
          <w:iCs/>
          <w:sz w:val="18"/>
          <w:szCs w:val="18"/>
        </w:rPr>
      </w:pPr>
    </w:p>
    <w:p w14:paraId="093D7CBF" w14:textId="77777777" w:rsidR="00D73334" w:rsidRPr="00D73334" w:rsidRDefault="00D73334" w:rsidP="00D73334">
      <w:pPr>
        <w:spacing w:after="0" w:line="240" w:lineRule="atLeast"/>
        <w:ind w:left="-142" w:right="-232"/>
        <w:jc w:val="both"/>
        <w:rPr>
          <w:rFonts w:ascii="Gotham" w:hAnsi="Gotham"/>
          <w:i/>
          <w:iCs/>
          <w:sz w:val="18"/>
          <w:szCs w:val="18"/>
        </w:rPr>
      </w:pPr>
      <w:r w:rsidRPr="00D73334">
        <w:rPr>
          <w:rFonts w:ascii="Gotham" w:hAnsi="Gotham"/>
          <w:b/>
          <w:bCs/>
          <w:i/>
          <w:iCs/>
          <w:sz w:val="18"/>
          <w:szCs w:val="18"/>
        </w:rPr>
        <w:t>“Artículo 7</w:t>
      </w:r>
      <w:r w:rsidRPr="00D73334">
        <w:rPr>
          <w:rFonts w:ascii="Gotham" w:hAnsi="Gotham"/>
          <w:i/>
          <w:iCs/>
          <w:sz w:val="18"/>
          <w:szCs w:val="18"/>
        </w:rPr>
        <w:t>. Para el estudio, planeación y despacho de los asuntos de su competencia, así como para atender las funciones de control y evaluación que le corresponden, la persona titular de la Secretaría se auxiliará de las unidades administrativas siguientes:</w:t>
      </w:r>
    </w:p>
    <w:p w14:paraId="16E7514E" w14:textId="77777777" w:rsidR="00D73334" w:rsidRPr="00D73334" w:rsidRDefault="00D73334" w:rsidP="00D73334">
      <w:pPr>
        <w:spacing w:after="0" w:line="240" w:lineRule="atLeast"/>
        <w:ind w:left="-142" w:right="-232"/>
        <w:jc w:val="both"/>
        <w:rPr>
          <w:rFonts w:ascii="Gotham" w:hAnsi="Gotham"/>
          <w:i/>
          <w:iCs/>
          <w:sz w:val="18"/>
          <w:szCs w:val="18"/>
        </w:rPr>
      </w:pPr>
    </w:p>
    <w:p w14:paraId="4326CD5D" w14:textId="77777777" w:rsidR="00D73334" w:rsidRPr="00D73334" w:rsidRDefault="00D73334" w:rsidP="00D73334">
      <w:pPr>
        <w:spacing w:after="0" w:line="240" w:lineRule="atLeast"/>
        <w:ind w:left="-142" w:right="-232"/>
        <w:jc w:val="both"/>
        <w:rPr>
          <w:rFonts w:ascii="Gotham" w:hAnsi="Gotham"/>
          <w:i/>
          <w:iCs/>
          <w:sz w:val="18"/>
          <w:szCs w:val="18"/>
        </w:rPr>
      </w:pPr>
      <w:r w:rsidRPr="00D73334">
        <w:rPr>
          <w:rFonts w:ascii="Gotham" w:hAnsi="Gotham"/>
          <w:b/>
          <w:bCs/>
          <w:i/>
          <w:iCs/>
          <w:sz w:val="18"/>
          <w:szCs w:val="18"/>
        </w:rPr>
        <w:t>I.</w:t>
      </w:r>
      <w:r w:rsidRPr="00D73334">
        <w:rPr>
          <w:rFonts w:ascii="Gotham" w:hAnsi="Gotham"/>
          <w:i/>
          <w:iCs/>
          <w:sz w:val="18"/>
          <w:szCs w:val="18"/>
        </w:rPr>
        <w:t xml:space="preserve"> Subsecretaría de Control Penitenciario; </w:t>
      </w:r>
    </w:p>
    <w:p w14:paraId="42A1532F" w14:textId="77777777" w:rsidR="00D73334" w:rsidRPr="00D73334" w:rsidRDefault="00D73334" w:rsidP="00D73334">
      <w:pPr>
        <w:spacing w:after="0" w:line="240" w:lineRule="atLeast"/>
        <w:ind w:left="-142" w:right="-232"/>
        <w:jc w:val="both"/>
        <w:rPr>
          <w:rFonts w:ascii="Gotham" w:hAnsi="Gotham"/>
          <w:i/>
          <w:iCs/>
          <w:sz w:val="18"/>
          <w:szCs w:val="18"/>
        </w:rPr>
      </w:pPr>
      <w:r w:rsidRPr="00D73334">
        <w:rPr>
          <w:rFonts w:ascii="Gotham" w:hAnsi="Gotham"/>
          <w:b/>
          <w:bCs/>
          <w:i/>
          <w:iCs/>
          <w:sz w:val="18"/>
          <w:szCs w:val="18"/>
        </w:rPr>
        <w:t>a.</w:t>
      </w:r>
      <w:r w:rsidRPr="00D73334">
        <w:rPr>
          <w:rFonts w:ascii="Gotham" w:hAnsi="Gotham"/>
          <w:i/>
          <w:iCs/>
          <w:sz w:val="18"/>
          <w:szCs w:val="18"/>
        </w:rPr>
        <w:t xml:space="preserve"> Dirección General de Prevención y Reinserción Social;”</w:t>
      </w:r>
      <w:r w:rsidRPr="00D73334">
        <w:rPr>
          <w:rFonts w:ascii="Gotham" w:hAnsi="Gotham"/>
          <w:b/>
          <w:bCs/>
          <w:i/>
          <w:iCs/>
          <w:sz w:val="18"/>
          <w:szCs w:val="18"/>
        </w:rPr>
        <w:t xml:space="preserve"> (Énfasis Añadido)</w:t>
      </w:r>
    </w:p>
    <w:p w14:paraId="42010937" w14:textId="77777777" w:rsidR="00D73334" w:rsidRPr="00D73334" w:rsidRDefault="00D73334" w:rsidP="00D73334">
      <w:pPr>
        <w:spacing w:after="0" w:line="240" w:lineRule="atLeast"/>
        <w:ind w:left="-142" w:right="-232"/>
        <w:jc w:val="both"/>
        <w:rPr>
          <w:rFonts w:ascii="Gotham" w:hAnsi="Gotham"/>
          <w:i/>
          <w:iCs/>
          <w:sz w:val="18"/>
          <w:szCs w:val="18"/>
        </w:rPr>
      </w:pPr>
    </w:p>
    <w:p w14:paraId="3CCB6656" w14:textId="77777777" w:rsidR="00D73334" w:rsidRPr="00D73334" w:rsidRDefault="00D73334" w:rsidP="00D73334">
      <w:pPr>
        <w:spacing w:after="0" w:line="240" w:lineRule="atLeast"/>
        <w:ind w:left="-142" w:right="-232"/>
        <w:jc w:val="both"/>
        <w:rPr>
          <w:rFonts w:ascii="Gotham" w:hAnsi="Gotham"/>
          <w:i/>
          <w:iCs/>
          <w:sz w:val="18"/>
          <w:szCs w:val="18"/>
        </w:rPr>
      </w:pPr>
      <w:r w:rsidRPr="00D73334">
        <w:rPr>
          <w:rFonts w:ascii="Gotham" w:hAnsi="Gotham"/>
          <w:b/>
          <w:bCs/>
          <w:i/>
          <w:iCs/>
          <w:sz w:val="18"/>
          <w:szCs w:val="18"/>
        </w:rPr>
        <w:t>“Artículo 20.</w:t>
      </w:r>
      <w:r w:rsidRPr="00D73334">
        <w:rPr>
          <w:rFonts w:ascii="Gotham" w:hAnsi="Gotham"/>
          <w:i/>
          <w:iCs/>
          <w:sz w:val="18"/>
          <w:szCs w:val="18"/>
        </w:rPr>
        <w:t xml:space="preserve"> Corresponden a la Subsecretaría de Control Penitenciario las atribuciones siguientes: </w:t>
      </w:r>
    </w:p>
    <w:p w14:paraId="44A3FFDF" w14:textId="77777777" w:rsidR="00D73334" w:rsidRPr="00D73334" w:rsidRDefault="00D73334" w:rsidP="00D73334">
      <w:pPr>
        <w:spacing w:after="0" w:line="240" w:lineRule="atLeast"/>
        <w:ind w:left="-142" w:right="-232"/>
        <w:jc w:val="both"/>
        <w:rPr>
          <w:rFonts w:ascii="Gotham" w:hAnsi="Gotham"/>
          <w:i/>
          <w:iCs/>
          <w:sz w:val="18"/>
          <w:szCs w:val="18"/>
        </w:rPr>
      </w:pPr>
      <w:r w:rsidRPr="00D73334">
        <w:rPr>
          <w:rFonts w:ascii="Gotham" w:hAnsi="Gotham"/>
          <w:b/>
          <w:bCs/>
          <w:i/>
          <w:iCs/>
          <w:sz w:val="18"/>
          <w:szCs w:val="18"/>
        </w:rPr>
        <w:lastRenderedPageBreak/>
        <w:t>I.</w:t>
      </w:r>
      <w:r w:rsidRPr="00D73334">
        <w:rPr>
          <w:rFonts w:ascii="Gotham" w:hAnsi="Gotham"/>
          <w:i/>
          <w:iCs/>
          <w:sz w:val="18"/>
          <w:szCs w:val="18"/>
        </w:rPr>
        <w:t xml:space="preserve"> Establecer políticas para la ejecución de los programas, previamente aprobados por la persona titular de la Secretaría, para la reinserción social de las Personas Privadas de su Libertad, de conformidad con la normatividad aplicable en la materia; </w:t>
      </w:r>
    </w:p>
    <w:p w14:paraId="629BE574" w14:textId="77777777" w:rsidR="00D73334" w:rsidRPr="00D73334" w:rsidRDefault="00D73334" w:rsidP="00D73334">
      <w:pPr>
        <w:spacing w:after="0" w:line="240" w:lineRule="atLeast"/>
        <w:ind w:left="-142" w:right="-232"/>
        <w:jc w:val="both"/>
        <w:rPr>
          <w:rFonts w:ascii="Gotham" w:hAnsi="Gotham"/>
          <w:i/>
          <w:iCs/>
          <w:sz w:val="18"/>
          <w:szCs w:val="18"/>
        </w:rPr>
      </w:pPr>
    </w:p>
    <w:p w14:paraId="11BE6C02" w14:textId="77777777" w:rsidR="00D73334" w:rsidRPr="00D73334" w:rsidRDefault="00D73334" w:rsidP="00D73334">
      <w:pPr>
        <w:spacing w:after="0" w:line="240" w:lineRule="atLeast"/>
        <w:ind w:left="-142" w:right="-232"/>
        <w:jc w:val="both"/>
        <w:rPr>
          <w:rFonts w:ascii="Gotham" w:hAnsi="Gotham"/>
          <w:i/>
          <w:iCs/>
          <w:sz w:val="18"/>
          <w:szCs w:val="18"/>
        </w:rPr>
      </w:pPr>
      <w:r w:rsidRPr="00D73334">
        <w:rPr>
          <w:rFonts w:ascii="Gotham" w:hAnsi="Gotham"/>
          <w:b/>
          <w:bCs/>
          <w:i/>
          <w:iCs/>
          <w:sz w:val="18"/>
          <w:szCs w:val="18"/>
        </w:rPr>
        <w:t>II.</w:t>
      </w:r>
      <w:r w:rsidRPr="00D73334">
        <w:rPr>
          <w:rFonts w:ascii="Gotham" w:hAnsi="Gotham"/>
          <w:i/>
          <w:iCs/>
          <w:sz w:val="18"/>
          <w:szCs w:val="18"/>
        </w:rPr>
        <w:t xml:space="preserve"> Planear, organizar y supervisar la aplicación de políticas, programas, tratamientos, servicios y procesos técnicos de reinserción social que respondan a las condiciones socioeconómicas del Estado y a las características de las Personas Privadas de su Libertad, a fin de prevenir la seguridad de éstas; </w:t>
      </w:r>
    </w:p>
    <w:p w14:paraId="6D65CC9C" w14:textId="77777777" w:rsidR="00D73334" w:rsidRDefault="00D73334" w:rsidP="00D73334">
      <w:pPr>
        <w:spacing w:after="0" w:line="240" w:lineRule="atLeast"/>
        <w:ind w:left="-142" w:right="-232"/>
        <w:jc w:val="both"/>
        <w:rPr>
          <w:rFonts w:ascii="Gotham" w:hAnsi="Gotham"/>
          <w:b/>
          <w:bCs/>
          <w:i/>
          <w:iCs/>
          <w:sz w:val="18"/>
          <w:szCs w:val="18"/>
        </w:rPr>
      </w:pPr>
    </w:p>
    <w:p w14:paraId="51424C89" w14:textId="0D14AE0C" w:rsidR="00D73334" w:rsidRPr="00D73334" w:rsidRDefault="00D73334" w:rsidP="00D73334">
      <w:pPr>
        <w:spacing w:after="0" w:line="240" w:lineRule="atLeast"/>
        <w:ind w:left="-142" w:right="-232"/>
        <w:jc w:val="both"/>
        <w:rPr>
          <w:rFonts w:ascii="Gotham" w:hAnsi="Gotham"/>
          <w:i/>
          <w:iCs/>
          <w:sz w:val="18"/>
          <w:szCs w:val="18"/>
        </w:rPr>
      </w:pPr>
      <w:r w:rsidRPr="00D73334">
        <w:rPr>
          <w:rFonts w:ascii="Gotham" w:hAnsi="Gotham"/>
          <w:b/>
          <w:bCs/>
          <w:i/>
          <w:iCs/>
          <w:sz w:val="18"/>
          <w:szCs w:val="18"/>
        </w:rPr>
        <w:t>III.</w:t>
      </w:r>
      <w:r w:rsidRPr="00D73334">
        <w:rPr>
          <w:rFonts w:ascii="Gotham" w:hAnsi="Gotham"/>
          <w:i/>
          <w:iCs/>
          <w:sz w:val="18"/>
          <w:szCs w:val="18"/>
        </w:rPr>
        <w:t xml:space="preserve"> Dirigir la prestación de los servicios educativos, culturales, recreativos, de trabajo, de protección a la salud, deportivos, y otros similares, como ejes transversales y bases de organización del sistema penitenciario para lograr la reinserción social de las Personas Privadas de la Libertad; </w:t>
      </w:r>
    </w:p>
    <w:p w14:paraId="777F0C5E" w14:textId="77777777" w:rsidR="00D73334" w:rsidRPr="00D73334" w:rsidRDefault="00D73334" w:rsidP="00D73334">
      <w:pPr>
        <w:spacing w:after="0" w:line="240" w:lineRule="atLeast"/>
        <w:ind w:left="-142" w:right="-232"/>
        <w:jc w:val="both"/>
        <w:rPr>
          <w:rFonts w:ascii="Gotham" w:hAnsi="Gotham"/>
          <w:i/>
          <w:iCs/>
          <w:sz w:val="18"/>
          <w:szCs w:val="18"/>
        </w:rPr>
      </w:pPr>
    </w:p>
    <w:p w14:paraId="600A61DD" w14:textId="77777777" w:rsidR="00D73334" w:rsidRPr="00D73334" w:rsidRDefault="00D73334" w:rsidP="00D73334">
      <w:pPr>
        <w:spacing w:after="0" w:line="240" w:lineRule="atLeast"/>
        <w:ind w:left="-142" w:right="-232"/>
        <w:jc w:val="both"/>
        <w:rPr>
          <w:rFonts w:ascii="Gotham" w:hAnsi="Gotham"/>
          <w:i/>
          <w:iCs/>
          <w:sz w:val="18"/>
          <w:szCs w:val="18"/>
        </w:rPr>
      </w:pPr>
      <w:r w:rsidRPr="00D73334">
        <w:rPr>
          <w:rFonts w:ascii="Gotham" w:hAnsi="Gotham"/>
          <w:b/>
          <w:bCs/>
          <w:i/>
          <w:iCs/>
          <w:sz w:val="18"/>
          <w:szCs w:val="18"/>
        </w:rPr>
        <w:t>IV.</w:t>
      </w:r>
      <w:r w:rsidRPr="00D73334">
        <w:rPr>
          <w:rFonts w:ascii="Gotham" w:hAnsi="Gotham"/>
          <w:i/>
          <w:iCs/>
          <w:sz w:val="18"/>
          <w:szCs w:val="18"/>
        </w:rPr>
        <w:t xml:space="preserve"> Instruir la elaboración y actualización de bases de datos de información de las Personas Privadas de su Libertad e informes estadísticos de los Centros; </w:t>
      </w:r>
    </w:p>
    <w:p w14:paraId="095954E6" w14:textId="77777777" w:rsidR="00D73334" w:rsidRPr="00D73334" w:rsidRDefault="00D73334" w:rsidP="00D73334">
      <w:pPr>
        <w:spacing w:after="0" w:line="240" w:lineRule="atLeast"/>
        <w:ind w:left="-142" w:right="-232"/>
        <w:jc w:val="both"/>
        <w:rPr>
          <w:rFonts w:ascii="Gotham" w:hAnsi="Gotham"/>
          <w:i/>
          <w:iCs/>
          <w:sz w:val="18"/>
          <w:szCs w:val="18"/>
        </w:rPr>
      </w:pPr>
    </w:p>
    <w:p w14:paraId="431AA776" w14:textId="77777777" w:rsidR="00D73334" w:rsidRPr="00D73334" w:rsidRDefault="00D73334" w:rsidP="00D73334">
      <w:pPr>
        <w:spacing w:after="0" w:line="240" w:lineRule="atLeast"/>
        <w:ind w:left="-142" w:right="-232"/>
        <w:jc w:val="both"/>
        <w:rPr>
          <w:rFonts w:ascii="Gotham" w:hAnsi="Gotham"/>
          <w:i/>
          <w:iCs/>
          <w:sz w:val="18"/>
          <w:szCs w:val="18"/>
        </w:rPr>
      </w:pPr>
      <w:r w:rsidRPr="00D73334">
        <w:rPr>
          <w:rFonts w:ascii="Gotham" w:hAnsi="Gotham"/>
          <w:b/>
          <w:bCs/>
          <w:i/>
          <w:iCs/>
          <w:sz w:val="18"/>
          <w:szCs w:val="18"/>
        </w:rPr>
        <w:t>V.</w:t>
      </w:r>
      <w:r w:rsidRPr="00D73334">
        <w:rPr>
          <w:rFonts w:ascii="Gotham" w:hAnsi="Gotham"/>
          <w:i/>
          <w:iCs/>
          <w:sz w:val="18"/>
          <w:szCs w:val="18"/>
        </w:rPr>
        <w:t xml:space="preserve"> Administrar, supervisar y mantener actualizados los registros institucionales, referentes a los antecedentes personales, judiciales, criminógenos y administrativos penitenciarios de las Personas Privadas de su Libertad por resolución de la autoridad competente; </w:t>
      </w:r>
    </w:p>
    <w:p w14:paraId="709744A3" w14:textId="77777777" w:rsidR="00D73334" w:rsidRPr="00D73334" w:rsidRDefault="00D73334" w:rsidP="00D73334">
      <w:pPr>
        <w:spacing w:after="0" w:line="240" w:lineRule="atLeast"/>
        <w:ind w:left="-142" w:right="-232"/>
        <w:jc w:val="both"/>
        <w:rPr>
          <w:rFonts w:ascii="Gotham" w:hAnsi="Gotham"/>
          <w:i/>
          <w:iCs/>
          <w:sz w:val="18"/>
          <w:szCs w:val="18"/>
        </w:rPr>
      </w:pPr>
    </w:p>
    <w:p w14:paraId="76311B32" w14:textId="77777777" w:rsidR="00D73334" w:rsidRPr="00D73334" w:rsidRDefault="00D73334" w:rsidP="00D73334">
      <w:pPr>
        <w:spacing w:after="0" w:line="240" w:lineRule="atLeast"/>
        <w:ind w:left="-142" w:right="-232"/>
        <w:jc w:val="both"/>
        <w:rPr>
          <w:rFonts w:ascii="Gotham" w:hAnsi="Gotham"/>
          <w:i/>
          <w:iCs/>
          <w:sz w:val="18"/>
          <w:szCs w:val="18"/>
        </w:rPr>
      </w:pPr>
      <w:r w:rsidRPr="00D73334">
        <w:rPr>
          <w:rFonts w:ascii="Gotham" w:hAnsi="Gotham"/>
          <w:b/>
          <w:bCs/>
          <w:i/>
          <w:iCs/>
          <w:sz w:val="18"/>
          <w:szCs w:val="18"/>
        </w:rPr>
        <w:t>VI.</w:t>
      </w:r>
      <w:r w:rsidRPr="00D73334">
        <w:rPr>
          <w:rFonts w:ascii="Gotham" w:hAnsi="Gotham"/>
          <w:i/>
          <w:iCs/>
          <w:sz w:val="18"/>
          <w:szCs w:val="18"/>
        </w:rPr>
        <w:t xml:space="preserve"> Controlar el sistema de registro dactilar, generando procesos que permitan optimizar dicho proceso; </w:t>
      </w:r>
    </w:p>
    <w:p w14:paraId="54ED4247" w14:textId="77777777" w:rsidR="00D73334" w:rsidRPr="00D73334" w:rsidRDefault="00D73334" w:rsidP="00D73334">
      <w:pPr>
        <w:spacing w:after="0" w:line="240" w:lineRule="atLeast"/>
        <w:ind w:left="-142" w:right="-232"/>
        <w:jc w:val="both"/>
        <w:rPr>
          <w:rFonts w:ascii="Gotham" w:hAnsi="Gotham"/>
          <w:i/>
          <w:iCs/>
          <w:sz w:val="18"/>
          <w:szCs w:val="18"/>
        </w:rPr>
      </w:pPr>
    </w:p>
    <w:p w14:paraId="2D147409" w14:textId="77777777" w:rsidR="00D73334" w:rsidRPr="00D73334" w:rsidRDefault="00D73334" w:rsidP="00D73334">
      <w:pPr>
        <w:spacing w:after="0" w:line="240" w:lineRule="atLeast"/>
        <w:ind w:left="-142" w:right="-232"/>
        <w:jc w:val="both"/>
        <w:rPr>
          <w:rFonts w:ascii="Gotham" w:hAnsi="Gotham"/>
          <w:i/>
          <w:iCs/>
          <w:sz w:val="18"/>
          <w:szCs w:val="18"/>
        </w:rPr>
      </w:pPr>
      <w:r w:rsidRPr="00D73334">
        <w:rPr>
          <w:rFonts w:ascii="Gotham" w:hAnsi="Gotham"/>
          <w:b/>
          <w:bCs/>
          <w:i/>
          <w:iCs/>
          <w:sz w:val="18"/>
          <w:szCs w:val="18"/>
        </w:rPr>
        <w:t>VII.</w:t>
      </w:r>
      <w:r w:rsidRPr="00D73334">
        <w:rPr>
          <w:rFonts w:ascii="Gotham" w:hAnsi="Gotham"/>
          <w:i/>
          <w:iCs/>
          <w:sz w:val="18"/>
          <w:szCs w:val="18"/>
        </w:rPr>
        <w:t xml:space="preserve"> Instruir el registro y el traslado de las Personas Privadas de su Libertad, en los casos previstos en las disposiciones jurídicas en la materia; </w:t>
      </w:r>
    </w:p>
    <w:p w14:paraId="04B459BC" w14:textId="77777777" w:rsidR="00D73334" w:rsidRPr="00D73334" w:rsidRDefault="00D73334" w:rsidP="00D73334">
      <w:pPr>
        <w:spacing w:after="0" w:line="240" w:lineRule="atLeast"/>
        <w:ind w:left="-142" w:right="-232"/>
        <w:jc w:val="both"/>
        <w:rPr>
          <w:rFonts w:ascii="Gotham" w:hAnsi="Gotham"/>
          <w:i/>
          <w:iCs/>
          <w:sz w:val="18"/>
          <w:szCs w:val="18"/>
        </w:rPr>
      </w:pPr>
    </w:p>
    <w:p w14:paraId="15E33A52" w14:textId="77777777" w:rsidR="00D73334" w:rsidRPr="00D73334" w:rsidRDefault="00D73334" w:rsidP="00D73334">
      <w:pPr>
        <w:spacing w:after="0" w:line="240" w:lineRule="atLeast"/>
        <w:ind w:left="-142" w:right="-232"/>
        <w:jc w:val="both"/>
        <w:rPr>
          <w:rFonts w:ascii="Gotham" w:hAnsi="Gotham"/>
          <w:i/>
          <w:iCs/>
          <w:sz w:val="18"/>
          <w:szCs w:val="18"/>
        </w:rPr>
      </w:pPr>
      <w:r w:rsidRPr="00D73334">
        <w:rPr>
          <w:rFonts w:ascii="Gotham" w:hAnsi="Gotham"/>
          <w:b/>
          <w:bCs/>
          <w:i/>
          <w:iCs/>
          <w:sz w:val="18"/>
          <w:szCs w:val="18"/>
        </w:rPr>
        <w:t>VIII.</w:t>
      </w:r>
      <w:r w:rsidRPr="00D73334">
        <w:rPr>
          <w:rFonts w:ascii="Gotham" w:hAnsi="Gotham"/>
          <w:i/>
          <w:iCs/>
          <w:sz w:val="18"/>
          <w:szCs w:val="18"/>
        </w:rPr>
        <w:t xml:space="preserve"> Vigilar el cumplimiento de lo señalado en la Ley Nacional de Ejecución Penal, Ley Nacional del Sistema Integral de Justicia Penal para Adolescentes y demás disposiciones jurídicas aplicables, en el ámbito de su competencia;</w:t>
      </w:r>
    </w:p>
    <w:p w14:paraId="49411808" w14:textId="77777777" w:rsidR="00D73334" w:rsidRPr="00D73334" w:rsidRDefault="00D73334" w:rsidP="00D73334">
      <w:pPr>
        <w:spacing w:after="0" w:line="240" w:lineRule="atLeast"/>
        <w:ind w:left="-142" w:right="-232"/>
        <w:jc w:val="both"/>
        <w:rPr>
          <w:rFonts w:ascii="Gotham" w:hAnsi="Gotham"/>
          <w:i/>
          <w:iCs/>
          <w:sz w:val="18"/>
          <w:szCs w:val="18"/>
        </w:rPr>
      </w:pPr>
    </w:p>
    <w:p w14:paraId="6143C63E" w14:textId="77777777" w:rsidR="00D73334" w:rsidRPr="00D73334" w:rsidRDefault="00D73334" w:rsidP="00D73334">
      <w:pPr>
        <w:spacing w:after="0" w:line="240" w:lineRule="atLeast"/>
        <w:ind w:left="-142" w:right="-232"/>
        <w:jc w:val="both"/>
        <w:rPr>
          <w:rFonts w:ascii="Gotham" w:hAnsi="Gotham"/>
          <w:i/>
          <w:iCs/>
          <w:sz w:val="18"/>
          <w:szCs w:val="18"/>
        </w:rPr>
      </w:pPr>
      <w:r w:rsidRPr="00D73334">
        <w:rPr>
          <w:rFonts w:ascii="Gotham" w:hAnsi="Gotham"/>
          <w:b/>
          <w:bCs/>
          <w:i/>
          <w:iCs/>
          <w:sz w:val="18"/>
          <w:szCs w:val="18"/>
        </w:rPr>
        <w:t>IX.</w:t>
      </w:r>
      <w:r w:rsidRPr="00D73334">
        <w:rPr>
          <w:rFonts w:ascii="Gotham" w:hAnsi="Gotham"/>
          <w:i/>
          <w:iCs/>
          <w:sz w:val="18"/>
          <w:szCs w:val="18"/>
        </w:rPr>
        <w:t xml:space="preserve"> Coadyuvar en la instrumentación adecuada de los programas de mejoramiento a la infraestructura de los Centros; </w:t>
      </w:r>
    </w:p>
    <w:p w14:paraId="0019227A" w14:textId="77777777" w:rsidR="00D73334" w:rsidRPr="00D73334" w:rsidRDefault="00D73334" w:rsidP="00D73334">
      <w:pPr>
        <w:spacing w:after="0" w:line="240" w:lineRule="atLeast"/>
        <w:ind w:left="-142" w:right="-232"/>
        <w:jc w:val="both"/>
        <w:rPr>
          <w:rFonts w:ascii="Gotham" w:hAnsi="Gotham"/>
          <w:i/>
          <w:iCs/>
          <w:sz w:val="18"/>
          <w:szCs w:val="18"/>
        </w:rPr>
      </w:pPr>
    </w:p>
    <w:p w14:paraId="5F4C4FA6" w14:textId="77777777" w:rsidR="00D73334" w:rsidRPr="00D73334" w:rsidRDefault="00D73334" w:rsidP="00D73334">
      <w:pPr>
        <w:spacing w:after="0" w:line="240" w:lineRule="atLeast"/>
        <w:ind w:left="-142" w:right="-232"/>
        <w:jc w:val="both"/>
        <w:rPr>
          <w:rFonts w:ascii="Gotham" w:hAnsi="Gotham"/>
          <w:i/>
          <w:iCs/>
          <w:sz w:val="18"/>
          <w:szCs w:val="18"/>
        </w:rPr>
      </w:pPr>
      <w:r w:rsidRPr="00D73334">
        <w:rPr>
          <w:rFonts w:ascii="Gotham" w:hAnsi="Gotham"/>
          <w:b/>
          <w:bCs/>
          <w:i/>
          <w:iCs/>
          <w:sz w:val="18"/>
          <w:szCs w:val="18"/>
        </w:rPr>
        <w:t>X.</w:t>
      </w:r>
      <w:r w:rsidRPr="00D73334">
        <w:rPr>
          <w:rFonts w:ascii="Gotham" w:hAnsi="Gotham"/>
          <w:i/>
          <w:iCs/>
          <w:sz w:val="18"/>
          <w:szCs w:val="18"/>
        </w:rPr>
        <w:t xml:space="preserve"> Supervisar los proyectos para la construcción y remodelación de los Centros; </w:t>
      </w:r>
    </w:p>
    <w:p w14:paraId="0D988F64" w14:textId="77777777" w:rsidR="00D73334" w:rsidRPr="00D73334" w:rsidRDefault="00D73334" w:rsidP="00D73334">
      <w:pPr>
        <w:spacing w:after="0" w:line="240" w:lineRule="atLeast"/>
        <w:ind w:left="-142" w:right="-232"/>
        <w:jc w:val="both"/>
        <w:rPr>
          <w:rFonts w:ascii="Gotham" w:hAnsi="Gotham"/>
          <w:i/>
          <w:iCs/>
          <w:sz w:val="18"/>
          <w:szCs w:val="18"/>
        </w:rPr>
      </w:pPr>
    </w:p>
    <w:p w14:paraId="30C1A8A6" w14:textId="77777777" w:rsidR="00D73334" w:rsidRPr="00D73334" w:rsidRDefault="00D73334" w:rsidP="00D73334">
      <w:pPr>
        <w:spacing w:after="0" w:line="240" w:lineRule="atLeast"/>
        <w:ind w:left="-142" w:right="-232"/>
        <w:jc w:val="both"/>
        <w:rPr>
          <w:rFonts w:ascii="Gotham" w:hAnsi="Gotham"/>
          <w:i/>
          <w:iCs/>
          <w:sz w:val="18"/>
          <w:szCs w:val="18"/>
        </w:rPr>
      </w:pPr>
      <w:r w:rsidRPr="00D73334">
        <w:rPr>
          <w:rFonts w:ascii="Gotham" w:hAnsi="Gotham"/>
          <w:b/>
          <w:bCs/>
          <w:i/>
          <w:iCs/>
          <w:sz w:val="18"/>
          <w:szCs w:val="18"/>
        </w:rPr>
        <w:t>XI.</w:t>
      </w:r>
      <w:r w:rsidRPr="00D73334">
        <w:rPr>
          <w:rFonts w:ascii="Gotham" w:hAnsi="Gotham"/>
          <w:i/>
          <w:iCs/>
          <w:sz w:val="18"/>
          <w:szCs w:val="18"/>
        </w:rPr>
        <w:t xml:space="preserve"> Participar de manera coordinada con las autoridades competentes, a fin de llevar a cabo actividades y programas tendientes a mejorar las condiciones de las personas adolescentes privadas de su libertad; </w:t>
      </w:r>
    </w:p>
    <w:p w14:paraId="106FC06C" w14:textId="77777777" w:rsidR="00D73334" w:rsidRPr="00D73334" w:rsidRDefault="00D73334" w:rsidP="00D73334">
      <w:pPr>
        <w:spacing w:after="0" w:line="240" w:lineRule="atLeast"/>
        <w:ind w:left="-142" w:right="-232"/>
        <w:jc w:val="both"/>
        <w:rPr>
          <w:rFonts w:ascii="Gotham" w:hAnsi="Gotham"/>
          <w:i/>
          <w:iCs/>
          <w:sz w:val="18"/>
          <w:szCs w:val="18"/>
        </w:rPr>
      </w:pPr>
    </w:p>
    <w:p w14:paraId="2A35BA17" w14:textId="77777777" w:rsidR="00D73334" w:rsidRPr="00D73334" w:rsidRDefault="00D73334" w:rsidP="00D73334">
      <w:pPr>
        <w:spacing w:after="0" w:line="240" w:lineRule="atLeast"/>
        <w:ind w:left="-142" w:right="-232"/>
        <w:jc w:val="both"/>
        <w:rPr>
          <w:rFonts w:ascii="Gotham" w:hAnsi="Gotham"/>
          <w:i/>
          <w:iCs/>
          <w:sz w:val="18"/>
          <w:szCs w:val="18"/>
        </w:rPr>
      </w:pPr>
      <w:r w:rsidRPr="00D73334">
        <w:rPr>
          <w:rFonts w:ascii="Gotham" w:hAnsi="Gotham"/>
          <w:b/>
          <w:bCs/>
          <w:i/>
          <w:iCs/>
          <w:sz w:val="18"/>
          <w:szCs w:val="18"/>
        </w:rPr>
        <w:t>XII.</w:t>
      </w:r>
      <w:r w:rsidRPr="00D73334">
        <w:rPr>
          <w:rFonts w:ascii="Gotham" w:hAnsi="Gotham"/>
          <w:i/>
          <w:iCs/>
          <w:sz w:val="18"/>
          <w:szCs w:val="18"/>
        </w:rPr>
        <w:t xml:space="preserve"> Supervisar y evaluar en el ámbito de su competencia, las funciones directivas, técnicas, administrativas, de seguridad y custodia de los Centros, proponiendo a la persona Titular de la Secretaría las medidas que estime necesarias para su mejoramiento; </w:t>
      </w:r>
    </w:p>
    <w:p w14:paraId="6A30C970" w14:textId="77777777" w:rsidR="00D73334" w:rsidRPr="00D73334" w:rsidRDefault="00D73334" w:rsidP="00D73334">
      <w:pPr>
        <w:spacing w:after="0" w:line="240" w:lineRule="atLeast"/>
        <w:ind w:left="-142" w:right="-232"/>
        <w:jc w:val="both"/>
        <w:rPr>
          <w:rFonts w:ascii="Gotham" w:hAnsi="Gotham"/>
          <w:i/>
          <w:iCs/>
          <w:sz w:val="18"/>
          <w:szCs w:val="18"/>
        </w:rPr>
      </w:pPr>
    </w:p>
    <w:p w14:paraId="6CACB9A8" w14:textId="77777777" w:rsidR="00D73334" w:rsidRPr="00D73334" w:rsidRDefault="00D73334" w:rsidP="00D73334">
      <w:pPr>
        <w:spacing w:after="0" w:line="240" w:lineRule="atLeast"/>
        <w:ind w:left="-142" w:right="-232"/>
        <w:jc w:val="both"/>
        <w:rPr>
          <w:rFonts w:ascii="Gotham" w:hAnsi="Gotham"/>
          <w:i/>
          <w:iCs/>
          <w:sz w:val="18"/>
          <w:szCs w:val="18"/>
        </w:rPr>
      </w:pPr>
      <w:r w:rsidRPr="00D73334">
        <w:rPr>
          <w:rFonts w:ascii="Gotham" w:hAnsi="Gotham"/>
          <w:b/>
          <w:bCs/>
          <w:i/>
          <w:iCs/>
          <w:sz w:val="18"/>
          <w:szCs w:val="18"/>
        </w:rPr>
        <w:t>XIII.</w:t>
      </w:r>
      <w:r w:rsidRPr="00D73334">
        <w:rPr>
          <w:rFonts w:ascii="Gotham" w:hAnsi="Gotham"/>
          <w:i/>
          <w:iCs/>
          <w:sz w:val="18"/>
          <w:szCs w:val="18"/>
        </w:rPr>
        <w:t xml:space="preserve"> Vigilar que las o los titulares de los Centros, pongan en inmediata libertad a las personas sentenciadas, indiciadas, procesadas, cuando así sea ordenado por la autoridad competente o que hayan recibido un beneficio de libertad anticipada, siempre y cuando no se encuentren a disposición de alguna otra autoridad competente por la cual deban permanecer detenidas; </w:t>
      </w:r>
    </w:p>
    <w:p w14:paraId="395B586B" w14:textId="77777777" w:rsidR="00D73334" w:rsidRPr="00D73334" w:rsidRDefault="00D73334" w:rsidP="00D73334">
      <w:pPr>
        <w:spacing w:after="0" w:line="240" w:lineRule="atLeast"/>
        <w:ind w:left="-142" w:right="-232"/>
        <w:jc w:val="both"/>
        <w:rPr>
          <w:rFonts w:ascii="Gotham" w:hAnsi="Gotham"/>
          <w:i/>
          <w:iCs/>
          <w:sz w:val="18"/>
          <w:szCs w:val="18"/>
        </w:rPr>
      </w:pPr>
    </w:p>
    <w:p w14:paraId="005BDA6A" w14:textId="77777777" w:rsidR="00D73334" w:rsidRPr="00D73334" w:rsidRDefault="00D73334" w:rsidP="00D73334">
      <w:pPr>
        <w:spacing w:after="0" w:line="240" w:lineRule="atLeast"/>
        <w:ind w:left="-142" w:right="-232"/>
        <w:jc w:val="both"/>
        <w:rPr>
          <w:rFonts w:ascii="Gotham" w:hAnsi="Gotham"/>
          <w:i/>
          <w:iCs/>
          <w:sz w:val="18"/>
          <w:szCs w:val="18"/>
        </w:rPr>
      </w:pPr>
      <w:r w:rsidRPr="00D73334">
        <w:rPr>
          <w:rFonts w:ascii="Gotham" w:hAnsi="Gotham"/>
          <w:b/>
          <w:bCs/>
          <w:i/>
          <w:iCs/>
          <w:sz w:val="18"/>
          <w:szCs w:val="18"/>
        </w:rPr>
        <w:t>XIV.</w:t>
      </w:r>
      <w:r w:rsidRPr="00D73334">
        <w:rPr>
          <w:rFonts w:ascii="Gotham" w:hAnsi="Gotham"/>
          <w:i/>
          <w:iCs/>
          <w:sz w:val="18"/>
          <w:szCs w:val="18"/>
        </w:rPr>
        <w:t xml:space="preserve"> Establecer programas educativos, culturales, deportivos, recreativos, de protección a la salud, así como de capacitación y producción laboral penitenciaria con retribución económica justa a las Personas Privadas de su Libertad del fuero común, en los términos de las disposiciones jurídicas de la materia;</w:t>
      </w:r>
    </w:p>
    <w:p w14:paraId="5ED6CA4E" w14:textId="77777777" w:rsidR="00D73334" w:rsidRPr="00D73334" w:rsidRDefault="00D73334" w:rsidP="00D73334">
      <w:pPr>
        <w:spacing w:after="0" w:line="240" w:lineRule="atLeast"/>
        <w:ind w:left="-142" w:right="-232"/>
        <w:jc w:val="both"/>
        <w:rPr>
          <w:rFonts w:ascii="Gotham" w:hAnsi="Gotham"/>
          <w:i/>
          <w:iCs/>
          <w:sz w:val="18"/>
          <w:szCs w:val="18"/>
        </w:rPr>
      </w:pPr>
    </w:p>
    <w:p w14:paraId="711BFC35" w14:textId="77777777" w:rsidR="00D73334" w:rsidRPr="00D73334" w:rsidRDefault="00D73334" w:rsidP="00D73334">
      <w:pPr>
        <w:spacing w:after="0" w:line="240" w:lineRule="atLeast"/>
        <w:ind w:left="-142" w:right="-232"/>
        <w:jc w:val="both"/>
        <w:rPr>
          <w:rFonts w:ascii="Gotham" w:hAnsi="Gotham"/>
          <w:i/>
          <w:iCs/>
          <w:sz w:val="18"/>
          <w:szCs w:val="18"/>
        </w:rPr>
      </w:pPr>
      <w:r w:rsidRPr="00D73334">
        <w:rPr>
          <w:rFonts w:ascii="Gotham" w:hAnsi="Gotham"/>
          <w:b/>
          <w:bCs/>
          <w:i/>
          <w:iCs/>
          <w:sz w:val="18"/>
          <w:szCs w:val="18"/>
        </w:rPr>
        <w:t>XV</w:t>
      </w:r>
      <w:r w:rsidRPr="00D73334">
        <w:rPr>
          <w:rFonts w:ascii="Gotham" w:hAnsi="Gotham"/>
          <w:i/>
          <w:iCs/>
          <w:sz w:val="18"/>
          <w:szCs w:val="18"/>
        </w:rPr>
        <w:t xml:space="preserve">. Planear, programar y presupuestar las actividades que le correspondan, así como formular, controlar y evaluar los programas que requiera para el desarrollo de sus atribuciones; </w:t>
      </w:r>
    </w:p>
    <w:p w14:paraId="09B5A0FB" w14:textId="77777777" w:rsidR="00D73334" w:rsidRPr="00D73334" w:rsidRDefault="00D73334" w:rsidP="00D73334">
      <w:pPr>
        <w:spacing w:after="0" w:line="240" w:lineRule="atLeast"/>
        <w:ind w:left="-142" w:right="-232"/>
        <w:jc w:val="both"/>
        <w:rPr>
          <w:rFonts w:ascii="Gotham" w:hAnsi="Gotham"/>
          <w:i/>
          <w:iCs/>
          <w:sz w:val="18"/>
          <w:szCs w:val="18"/>
        </w:rPr>
      </w:pPr>
      <w:r w:rsidRPr="00D73334">
        <w:rPr>
          <w:rFonts w:ascii="Gotham" w:hAnsi="Gotham"/>
          <w:b/>
          <w:bCs/>
          <w:i/>
          <w:iCs/>
          <w:sz w:val="18"/>
          <w:szCs w:val="18"/>
        </w:rPr>
        <w:lastRenderedPageBreak/>
        <w:t>XVI.</w:t>
      </w:r>
      <w:r w:rsidRPr="00D73334">
        <w:rPr>
          <w:rFonts w:ascii="Gotham" w:hAnsi="Gotham"/>
          <w:i/>
          <w:iCs/>
          <w:sz w:val="18"/>
          <w:szCs w:val="18"/>
        </w:rPr>
        <w:t xml:space="preserve"> Proponer a la persona Titular de la Secretaría la celebración de contratos y convenios relativos al ejercicio de sus atribuciones; </w:t>
      </w:r>
    </w:p>
    <w:p w14:paraId="17ED76E2" w14:textId="77777777" w:rsidR="00D73334" w:rsidRPr="00D73334" w:rsidRDefault="00D73334" w:rsidP="00D73334">
      <w:pPr>
        <w:spacing w:after="0" w:line="240" w:lineRule="atLeast"/>
        <w:ind w:left="-142" w:right="-232"/>
        <w:jc w:val="both"/>
        <w:rPr>
          <w:rFonts w:ascii="Gotham" w:hAnsi="Gotham"/>
          <w:i/>
          <w:iCs/>
          <w:sz w:val="18"/>
          <w:szCs w:val="18"/>
        </w:rPr>
      </w:pPr>
    </w:p>
    <w:p w14:paraId="0BF66A56" w14:textId="77777777" w:rsidR="00D73334" w:rsidRPr="00D73334" w:rsidRDefault="00D73334" w:rsidP="00D73334">
      <w:pPr>
        <w:spacing w:after="0" w:line="240" w:lineRule="atLeast"/>
        <w:ind w:left="-142" w:right="-232"/>
        <w:jc w:val="both"/>
        <w:rPr>
          <w:rFonts w:ascii="Gotham" w:hAnsi="Gotham"/>
          <w:i/>
          <w:iCs/>
          <w:sz w:val="18"/>
          <w:szCs w:val="18"/>
        </w:rPr>
      </w:pPr>
      <w:r w:rsidRPr="00D73334">
        <w:rPr>
          <w:rFonts w:ascii="Gotham" w:hAnsi="Gotham"/>
          <w:b/>
          <w:bCs/>
          <w:i/>
          <w:iCs/>
          <w:sz w:val="18"/>
          <w:szCs w:val="18"/>
        </w:rPr>
        <w:t>XVII.</w:t>
      </w:r>
      <w:r w:rsidRPr="00D73334">
        <w:rPr>
          <w:rFonts w:ascii="Gotham" w:hAnsi="Gotham"/>
          <w:i/>
          <w:iCs/>
          <w:sz w:val="18"/>
          <w:szCs w:val="18"/>
        </w:rPr>
        <w:t xml:space="preserve"> Coordinar acciones y actividades con otras Unidades Administrativas, para el cumplimiento eficaz de sus atribuciones; </w:t>
      </w:r>
    </w:p>
    <w:p w14:paraId="075A1B7E" w14:textId="77777777" w:rsidR="00D73334" w:rsidRPr="00D73334" w:rsidRDefault="00D73334" w:rsidP="00D73334">
      <w:pPr>
        <w:spacing w:after="0" w:line="240" w:lineRule="atLeast"/>
        <w:ind w:left="-142" w:right="-232"/>
        <w:jc w:val="both"/>
        <w:rPr>
          <w:rFonts w:ascii="Gotham" w:hAnsi="Gotham"/>
          <w:i/>
          <w:iCs/>
          <w:sz w:val="18"/>
          <w:szCs w:val="18"/>
        </w:rPr>
      </w:pPr>
      <w:r w:rsidRPr="00D73334">
        <w:rPr>
          <w:rFonts w:ascii="Gotham" w:hAnsi="Gotham"/>
          <w:b/>
          <w:bCs/>
          <w:i/>
          <w:iCs/>
          <w:sz w:val="18"/>
          <w:szCs w:val="18"/>
        </w:rPr>
        <w:t>XVIII</w:t>
      </w:r>
      <w:r w:rsidRPr="00D73334">
        <w:rPr>
          <w:rFonts w:ascii="Gotham" w:hAnsi="Gotham"/>
          <w:i/>
          <w:iCs/>
          <w:sz w:val="18"/>
          <w:szCs w:val="18"/>
        </w:rPr>
        <w:t xml:space="preserve">. Coordinar, supervisar y evaluar las acciones que en materia de información penitenciaria se generen para la compilación estadística de los Centros; </w:t>
      </w:r>
    </w:p>
    <w:p w14:paraId="26DD77BB" w14:textId="77777777" w:rsidR="00D73334" w:rsidRPr="00D73334" w:rsidRDefault="00D73334" w:rsidP="00D73334">
      <w:pPr>
        <w:spacing w:after="0" w:line="240" w:lineRule="atLeast"/>
        <w:ind w:left="-142" w:right="-232"/>
        <w:jc w:val="both"/>
        <w:rPr>
          <w:rFonts w:ascii="Gotham" w:hAnsi="Gotham"/>
          <w:i/>
          <w:iCs/>
          <w:sz w:val="18"/>
          <w:szCs w:val="18"/>
        </w:rPr>
      </w:pPr>
    </w:p>
    <w:p w14:paraId="19471B4D" w14:textId="77777777" w:rsidR="00D73334" w:rsidRPr="00D73334" w:rsidRDefault="00D73334" w:rsidP="00D73334">
      <w:pPr>
        <w:spacing w:after="0" w:line="240" w:lineRule="atLeast"/>
        <w:ind w:left="-142" w:right="-232"/>
        <w:jc w:val="both"/>
        <w:rPr>
          <w:rFonts w:ascii="Gotham" w:hAnsi="Gotham"/>
          <w:i/>
          <w:iCs/>
          <w:sz w:val="18"/>
          <w:szCs w:val="18"/>
        </w:rPr>
      </w:pPr>
      <w:r w:rsidRPr="00D73334">
        <w:rPr>
          <w:rFonts w:ascii="Gotham" w:hAnsi="Gotham"/>
          <w:b/>
          <w:bCs/>
          <w:i/>
          <w:iCs/>
          <w:sz w:val="18"/>
          <w:szCs w:val="18"/>
        </w:rPr>
        <w:t>XIX.</w:t>
      </w:r>
      <w:r w:rsidRPr="00D73334">
        <w:rPr>
          <w:rFonts w:ascii="Gotham" w:hAnsi="Gotham"/>
          <w:i/>
          <w:iCs/>
          <w:sz w:val="18"/>
          <w:szCs w:val="18"/>
        </w:rPr>
        <w:t xml:space="preserve"> Implementar programas para la dignificación de la población penitenciara; </w:t>
      </w:r>
    </w:p>
    <w:p w14:paraId="57EF0EB2" w14:textId="77777777" w:rsidR="00D73334" w:rsidRPr="00D73334" w:rsidRDefault="00D73334" w:rsidP="00D73334">
      <w:pPr>
        <w:spacing w:after="0" w:line="240" w:lineRule="atLeast"/>
        <w:ind w:left="-142" w:right="-232"/>
        <w:jc w:val="both"/>
        <w:rPr>
          <w:rFonts w:ascii="Gotham" w:hAnsi="Gotham"/>
          <w:i/>
          <w:iCs/>
          <w:sz w:val="18"/>
          <w:szCs w:val="18"/>
        </w:rPr>
      </w:pPr>
    </w:p>
    <w:p w14:paraId="0913A593" w14:textId="77777777" w:rsidR="00D73334" w:rsidRPr="00D73334" w:rsidRDefault="00D73334" w:rsidP="00D73334">
      <w:pPr>
        <w:spacing w:after="0" w:line="240" w:lineRule="atLeast"/>
        <w:ind w:left="-142" w:right="-232"/>
        <w:jc w:val="both"/>
        <w:rPr>
          <w:rFonts w:ascii="Gotham" w:hAnsi="Gotham"/>
          <w:i/>
          <w:iCs/>
          <w:sz w:val="18"/>
          <w:szCs w:val="18"/>
        </w:rPr>
      </w:pPr>
      <w:r w:rsidRPr="00D73334">
        <w:rPr>
          <w:rFonts w:ascii="Gotham" w:hAnsi="Gotham"/>
          <w:b/>
          <w:bCs/>
          <w:i/>
          <w:iCs/>
          <w:sz w:val="18"/>
          <w:szCs w:val="18"/>
        </w:rPr>
        <w:t>XX.</w:t>
      </w:r>
      <w:r w:rsidRPr="00D73334">
        <w:rPr>
          <w:rFonts w:ascii="Gotham" w:hAnsi="Gotham"/>
          <w:i/>
          <w:iCs/>
          <w:sz w:val="18"/>
          <w:szCs w:val="18"/>
        </w:rPr>
        <w:t xml:space="preserve"> Promover periódicamente la actualización de los cuerpos de seguridad de los Centros, mediante la impartición de cursos en materia de seguridad aplicables al desempeño de su labor; </w:t>
      </w:r>
    </w:p>
    <w:p w14:paraId="51C3A2E3" w14:textId="77777777" w:rsidR="00D73334" w:rsidRPr="00D73334" w:rsidRDefault="00D73334" w:rsidP="00D73334">
      <w:pPr>
        <w:spacing w:after="0" w:line="240" w:lineRule="atLeast"/>
        <w:ind w:left="-142" w:right="-232"/>
        <w:jc w:val="both"/>
        <w:rPr>
          <w:rFonts w:ascii="Gotham" w:hAnsi="Gotham"/>
          <w:i/>
          <w:iCs/>
          <w:sz w:val="18"/>
          <w:szCs w:val="18"/>
        </w:rPr>
      </w:pPr>
    </w:p>
    <w:p w14:paraId="594CB7EE" w14:textId="77777777" w:rsidR="00D73334" w:rsidRPr="00D73334" w:rsidRDefault="00D73334" w:rsidP="00D73334">
      <w:pPr>
        <w:spacing w:after="0" w:line="240" w:lineRule="atLeast"/>
        <w:ind w:left="-142" w:right="-232"/>
        <w:jc w:val="both"/>
        <w:rPr>
          <w:rFonts w:ascii="Gotham" w:hAnsi="Gotham"/>
          <w:i/>
          <w:iCs/>
          <w:sz w:val="18"/>
          <w:szCs w:val="18"/>
        </w:rPr>
      </w:pPr>
      <w:r w:rsidRPr="00D73334">
        <w:rPr>
          <w:rFonts w:ascii="Gotham" w:hAnsi="Gotham"/>
          <w:b/>
          <w:bCs/>
          <w:i/>
          <w:iCs/>
          <w:sz w:val="18"/>
          <w:szCs w:val="18"/>
        </w:rPr>
        <w:t>XXI.</w:t>
      </w:r>
      <w:r w:rsidRPr="00D73334">
        <w:rPr>
          <w:rFonts w:ascii="Gotham" w:hAnsi="Gotham"/>
          <w:i/>
          <w:iCs/>
          <w:sz w:val="18"/>
          <w:szCs w:val="18"/>
        </w:rPr>
        <w:t xml:space="preserve"> Aprobar y supervisar los programas de trabajo de las Unidades Administrativas adscritas a la Subsecretaría a su cargo; </w:t>
      </w:r>
    </w:p>
    <w:p w14:paraId="6F38FAA7" w14:textId="77777777" w:rsidR="00D73334" w:rsidRPr="00D73334" w:rsidRDefault="00D73334" w:rsidP="00D73334">
      <w:pPr>
        <w:spacing w:after="0" w:line="240" w:lineRule="atLeast"/>
        <w:ind w:left="-142" w:right="-232"/>
        <w:jc w:val="both"/>
        <w:rPr>
          <w:rFonts w:ascii="Gotham" w:hAnsi="Gotham"/>
          <w:i/>
          <w:iCs/>
          <w:sz w:val="18"/>
          <w:szCs w:val="18"/>
        </w:rPr>
      </w:pPr>
    </w:p>
    <w:p w14:paraId="77F4C6A9" w14:textId="77777777" w:rsidR="00D73334" w:rsidRPr="00D73334" w:rsidRDefault="00D73334" w:rsidP="00D73334">
      <w:pPr>
        <w:spacing w:after="0" w:line="240" w:lineRule="atLeast"/>
        <w:ind w:left="-142" w:right="-232"/>
        <w:jc w:val="both"/>
        <w:rPr>
          <w:rFonts w:ascii="Gotham" w:hAnsi="Gotham"/>
          <w:i/>
          <w:iCs/>
          <w:sz w:val="18"/>
          <w:szCs w:val="18"/>
        </w:rPr>
      </w:pPr>
      <w:r w:rsidRPr="00D73334">
        <w:rPr>
          <w:rFonts w:ascii="Gotham" w:hAnsi="Gotham"/>
          <w:b/>
          <w:bCs/>
          <w:i/>
          <w:iCs/>
          <w:sz w:val="18"/>
          <w:szCs w:val="18"/>
        </w:rPr>
        <w:t>XXII.</w:t>
      </w:r>
      <w:r w:rsidRPr="00D73334">
        <w:rPr>
          <w:rFonts w:ascii="Gotham" w:hAnsi="Gotham"/>
          <w:i/>
          <w:iCs/>
          <w:sz w:val="18"/>
          <w:szCs w:val="18"/>
        </w:rPr>
        <w:t xml:space="preserve"> Proponer a la persona Titular de la Secretaría, los programas, lineamientos, políticas y medidas necesarias para la prevención del delito; </w:t>
      </w:r>
    </w:p>
    <w:p w14:paraId="0476341D" w14:textId="77777777" w:rsidR="00D73334" w:rsidRPr="00D73334" w:rsidRDefault="00D73334" w:rsidP="00D73334">
      <w:pPr>
        <w:spacing w:after="0" w:line="240" w:lineRule="atLeast"/>
        <w:ind w:left="-142" w:right="-232"/>
        <w:jc w:val="both"/>
        <w:rPr>
          <w:rFonts w:ascii="Gotham" w:hAnsi="Gotham"/>
          <w:i/>
          <w:iCs/>
          <w:sz w:val="18"/>
          <w:szCs w:val="18"/>
        </w:rPr>
      </w:pPr>
    </w:p>
    <w:p w14:paraId="45B9F39C" w14:textId="77777777" w:rsidR="00D73334" w:rsidRPr="00D73334" w:rsidRDefault="00D73334" w:rsidP="00D73334">
      <w:pPr>
        <w:spacing w:after="0" w:line="240" w:lineRule="atLeast"/>
        <w:ind w:left="-142" w:right="-232"/>
        <w:jc w:val="both"/>
        <w:rPr>
          <w:rFonts w:ascii="Gotham" w:hAnsi="Gotham"/>
          <w:i/>
          <w:iCs/>
          <w:sz w:val="18"/>
          <w:szCs w:val="18"/>
        </w:rPr>
      </w:pPr>
      <w:r w:rsidRPr="00D73334">
        <w:rPr>
          <w:rFonts w:ascii="Gotham" w:hAnsi="Gotham"/>
          <w:b/>
          <w:bCs/>
          <w:i/>
          <w:iCs/>
          <w:sz w:val="18"/>
          <w:szCs w:val="18"/>
        </w:rPr>
        <w:t>XXIII.</w:t>
      </w:r>
      <w:r w:rsidRPr="00D73334">
        <w:rPr>
          <w:rFonts w:ascii="Gotham" w:hAnsi="Gotham"/>
          <w:i/>
          <w:iCs/>
          <w:sz w:val="18"/>
          <w:szCs w:val="18"/>
        </w:rPr>
        <w:t xml:space="preserve"> Autorizar los nombramientos, adscripciones y comisiones de las personas servidoras públicas de las Unidades Administrativas y Operativas a su cargo; así como autorizar e implementar los cambios de adscripción de las personas servidoras públicas de las Unidades Administrativas y Operativas a su cargo de un área operativa a otra o distinta a sus funciones, conforme a las necesidades del servicio; con excepción de las personas titulares de las Unidades Administrativas, informando a la Oficialía Mayor para los efectos administrativos conducentes; </w:t>
      </w:r>
    </w:p>
    <w:p w14:paraId="09C36E8F" w14:textId="77777777" w:rsidR="00D73334" w:rsidRPr="00D73334" w:rsidRDefault="00D73334" w:rsidP="00D73334">
      <w:pPr>
        <w:spacing w:after="0" w:line="240" w:lineRule="atLeast"/>
        <w:ind w:left="-142" w:right="-232"/>
        <w:jc w:val="both"/>
        <w:rPr>
          <w:rFonts w:ascii="Gotham" w:hAnsi="Gotham"/>
          <w:i/>
          <w:iCs/>
          <w:sz w:val="18"/>
          <w:szCs w:val="18"/>
        </w:rPr>
      </w:pPr>
    </w:p>
    <w:p w14:paraId="297510FC" w14:textId="77777777" w:rsidR="00D73334" w:rsidRPr="00D73334" w:rsidRDefault="00D73334" w:rsidP="00D73334">
      <w:pPr>
        <w:spacing w:after="0" w:line="240" w:lineRule="atLeast"/>
        <w:ind w:left="-142" w:right="-232"/>
        <w:jc w:val="both"/>
        <w:rPr>
          <w:rFonts w:ascii="Gotham" w:hAnsi="Gotham"/>
          <w:i/>
          <w:iCs/>
          <w:sz w:val="18"/>
          <w:szCs w:val="18"/>
        </w:rPr>
      </w:pPr>
      <w:r w:rsidRPr="00D73334">
        <w:rPr>
          <w:rFonts w:ascii="Gotham" w:hAnsi="Gotham"/>
          <w:b/>
          <w:bCs/>
          <w:i/>
          <w:iCs/>
          <w:sz w:val="18"/>
          <w:szCs w:val="18"/>
        </w:rPr>
        <w:t>XXIV</w:t>
      </w:r>
      <w:r w:rsidRPr="00D73334">
        <w:rPr>
          <w:rFonts w:ascii="Gotham" w:hAnsi="Gotham"/>
          <w:i/>
          <w:iCs/>
          <w:sz w:val="18"/>
          <w:szCs w:val="18"/>
        </w:rPr>
        <w:t xml:space="preserve">. Fungir como Autoridad Penitenciaria encargada de organizar la administración, operación y supervisión del Sistema Penitenciario en la Entidad, y </w:t>
      </w:r>
    </w:p>
    <w:p w14:paraId="0B194D65" w14:textId="77777777" w:rsidR="00D73334" w:rsidRPr="00D73334" w:rsidRDefault="00D73334" w:rsidP="00D73334">
      <w:pPr>
        <w:spacing w:after="0" w:line="240" w:lineRule="atLeast"/>
        <w:ind w:left="-142" w:right="-232"/>
        <w:jc w:val="both"/>
        <w:rPr>
          <w:rFonts w:ascii="Gotham" w:hAnsi="Gotham"/>
          <w:i/>
          <w:iCs/>
          <w:sz w:val="18"/>
          <w:szCs w:val="18"/>
        </w:rPr>
      </w:pPr>
    </w:p>
    <w:p w14:paraId="64BAD7DB" w14:textId="77777777" w:rsidR="00D73334" w:rsidRPr="00D73334" w:rsidRDefault="00D73334" w:rsidP="00D73334">
      <w:pPr>
        <w:spacing w:after="0" w:line="240" w:lineRule="atLeast"/>
        <w:ind w:left="-142" w:right="-232"/>
        <w:jc w:val="both"/>
        <w:rPr>
          <w:rFonts w:ascii="Gotham" w:hAnsi="Gotham"/>
          <w:i/>
          <w:iCs/>
          <w:sz w:val="18"/>
          <w:szCs w:val="18"/>
        </w:rPr>
      </w:pPr>
      <w:r w:rsidRPr="00D73334">
        <w:rPr>
          <w:rFonts w:ascii="Gotham" w:hAnsi="Gotham"/>
          <w:b/>
          <w:bCs/>
          <w:i/>
          <w:iCs/>
          <w:sz w:val="18"/>
          <w:szCs w:val="18"/>
        </w:rPr>
        <w:t>XXV.</w:t>
      </w:r>
      <w:r w:rsidRPr="00D73334">
        <w:rPr>
          <w:rFonts w:ascii="Gotham" w:hAnsi="Gotham"/>
          <w:i/>
          <w:iCs/>
          <w:sz w:val="18"/>
          <w:szCs w:val="18"/>
        </w:rPr>
        <w:t xml:space="preserve"> Las demás que le confieran otras disposiciones jurídicas y las que le encomiende la persona titular de la Secretaría.”</w:t>
      </w:r>
      <w:r w:rsidRPr="00D73334">
        <w:rPr>
          <w:rFonts w:ascii="Gotham" w:hAnsi="Gotham"/>
          <w:b/>
          <w:bCs/>
          <w:i/>
          <w:iCs/>
          <w:sz w:val="18"/>
          <w:szCs w:val="18"/>
        </w:rPr>
        <w:t xml:space="preserve"> (Énfasis Añadido)</w:t>
      </w:r>
    </w:p>
    <w:p w14:paraId="6EF7E74A" w14:textId="77777777" w:rsidR="00D73334" w:rsidRPr="00D73334" w:rsidRDefault="00D73334" w:rsidP="00D73334">
      <w:pPr>
        <w:spacing w:after="0" w:line="240" w:lineRule="atLeast"/>
        <w:ind w:left="-142" w:right="-232"/>
        <w:jc w:val="both"/>
        <w:rPr>
          <w:rFonts w:ascii="Gotham" w:hAnsi="Gotham"/>
          <w:i/>
          <w:iCs/>
          <w:sz w:val="18"/>
          <w:szCs w:val="18"/>
        </w:rPr>
      </w:pPr>
    </w:p>
    <w:p w14:paraId="3770EFF4" w14:textId="77777777" w:rsidR="00D73334" w:rsidRPr="00D73334" w:rsidRDefault="00D73334" w:rsidP="00D73334">
      <w:pPr>
        <w:spacing w:after="0" w:line="240" w:lineRule="atLeast"/>
        <w:ind w:left="-142" w:right="-232"/>
        <w:jc w:val="both"/>
        <w:rPr>
          <w:rFonts w:ascii="Gotham" w:hAnsi="Gotham"/>
          <w:b/>
          <w:bCs/>
          <w:iCs/>
          <w:sz w:val="18"/>
          <w:szCs w:val="18"/>
        </w:rPr>
      </w:pPr>
      <w:r w:rsidRPr="00D73334">
        <w:rPr>
          <w:rFonts w:ascii="Gotham" w:hAnsi="Gotham"/>
          <w:b/>
          <w:bCs/>
          <w:iCs/>
          <w:sz w:val="18"/>
          <w:szCs w:val="18"/>
        </w:rPr>
        <w:t>Orientación:</w:t>
      </w:r>
    </w:p>
    <w:p w14:paraId="02B2370A" w14:textId="77777777" w:rsidR="00D73334" w:rsidRPr="00D73334" w:rsidRDefault="00D73334" w:rsidP="00D73334">
      <w:pPr>
        <w:spacing w:after="0" w:line="240" w:lineRule="atLeast"/>
        <w:ind w:left="-142" w:right="-232"/>
        <w:jc w:val="both"/>
        <w:rPr>
          <w:rFonts w:ascii="Gotham" w:hAnsi="Gotham"/>
          <w:bCs/>
          <w:iCs/>
          <w:sz w:val="18"/>
          <w:szCs w:val="18"/>
        </w:rPr>
      </w:pPr>
    </w:p>
    <w:p w14:paraId="09F6347B" w14:textId="77777777" w:rsidR="00D73334" w:rsidRPr="00D73334" w:rsidRDefault="00D73334" w:rsidP="00D73334">
      <w:pPr>
        <w:spacing w:after="0" w:line="240" w:lineRule="atLeast"/>
        <w:ind w:left="-142" w:right="-232"/>
        <w:jc w:val="both"/>
        <w:rPr>
          <w:rFonts w:ascii="Gotham" w:hAnsi="Gotham"/>
          <w:bCs/>
          <w:iCs/>
          <w:sz w:val="18"/>
          <w:szCs w:val="18"/>
        </w:rPr>
      </w:pPr>
      <w:r w:rsidRPr="00D73334">
        <w:rPr>
          <w:rFonts w:ascii="Gotham" w:hAnsi="Gotham"/>
          <w:bCs/>
          <w:iCs/>
          <w:sz w:val="18"/>
          <w:szCs w:val="18"/>
        </w:rPr>
        <w:t xml:space="preserve">Se le orienta en el sentido de que la información señalada pudiere ser proporcionada por la </w:t>
      </w:r>
      <w:r w:rsidRPr="00D73334">
        <w:rPr>
          <w:rFonts w:ascii="Gotham" w:hAnsi="Gotham"/>
          <w:b/>
          <w:sz w:val="18"/>
          <w:szCs w:val="18"/>
        </w:rPr>
        <w:t xml:space="preserve">Secretaría de Seguridad del Estado de México, </w:t>
      </w:r>
      <w:r w:rsidRPr="00D73334">
        <w:rPr>
          <w:rFonts w:ascii="Gotham" w:hAnsi="Gotham"/>
          <w:bCs/>
          <w:sz w:val="18"/>
          <w:szCs w:val="18"/>
        </w:rPr>
        <w:t>por lo que de manera respetuosa se sugiere ingrese su solicitud</w:t>
      </w:r>
      <w:r w:rsidRPr="00D73334">
        <w:rPr>
          <w:rFonts w:ascii="Gotham" w:hAnsi="Gotham"/>
          <w:bCs/>
          <w:iCs/>
          <w:sz w:val="18"/>
          <w:szCs w:val="18"/>
        </w:rPr>
        <w:t>:</w:t>
      </w:r>
    </w:p>
    <w:p w14:paraId="45480EDA" w14:textId="77777777" w:rsidR="00D73334" w:rsidRPr="00D73334" w:rsidRDefault="00D73334" w:rsidP="00D73334">
      <w:pPr>
        <w:spacing w:after="0" w:line="240" w:lineRule="atLeast"/>
        <w:ind w:left="-142" w:right="-232"/>
        <w:jc w:val="both"/>
        <w:rPr>
          <w:rFonts w:ascii="Gotham" w:hAnsi="Gotham"/>
          <w:bCs/>
          <w:iCs/>
          <w:sz w:val="18"/>
          <w:szCs w:val="18"/>
        </w:rPr>
      </w:pPr>
    </w:p>
    <w:p w14:paraId="786EAC8E" w14:textId="77777777" w:rsidR="00D73334" w:rsidRPr="00D73334" w:rsidRDefault="00D73334" w:rsidP="00D73334">
      <w:pPr>
        <w:pStyle w:val="Prrafodelista"/>
        <w:numPr>
          <w:ilvl w:val="0"/>
          <w:numId w:val="2"/>
        </w:numPr>
        <w:spacing w:after="0" w:line="240" w:lineRule="atLeast"/>
        <w:ind w:right="-232"/>
        <w:jc w:val="both"/>
        <w:rPr>
          <w:rFonts w:ascii="Gotham" w:hAnsi="Gotham"/>
          <w:bCs/>
          <w:sz w:val="18"/>
          <w:szCs w:val="18"/>
        </w:rPr>
      </w:pPr>
      <w:r w:rsidRPr="00D73334">
        <w:rPr>
          <w:rFonts w:ascii="Gotham" w:hAnsi="Gotham"/>
          <w:bCs/>
          <w:iCs/>
          <w:sz w:val="18"/>
          <w:szCs w:val="18"/>
        </w:rPr>
        <w:t xml:space="preserve">De manera electrónica a través de la Plataforma Nacional de Transparencia o SAIMEX, o de manera personal ante la Unidad de Transparencia de la </w:t>
      </w:r>
      <w:r w:rsidRPr="00D73334">
        <w:rPr>
          <w:rFonts w:ascii="Gotham" w:hAnsi="Gotham"/>
          <w:b/>
          <w:bCs/>
          <w:iCs/>
          <w:sz w:val="18"/>
          <w:szCs w:val="18"/>
        </w:rPr>
        <w:t>Secretaría de Seguridad del Estado de México</w:t>
      </w:r>
      <w:r w:rsidRPr="00D73334">
        <w:rPr>
          <w:rFonts w:ascii="Gotham" w:hAnsi="Gotham"/>
          <w:bCs/>
          <w:iCs/>
          <w:sz w:val="18"/>
          <w:szCs w:val="18"/>
        </w:rPr>
        <w:t xml:space="preserve">, ubicada en Avenida 28 de Octubre sin número, Colonia Vértice, Código Postal 50090, Toluca, México, teléfono 722 279 6200 extensiones 4108 y 4280, en un horario de atención de lunes a viernes de 09:00 a 18:00 horas en días hábiles, y correo electrónico oficial: </w:t>
      </w:r>
      <w:hyperlink r:id="rId7" w:history="1">
        <w:r w:rsidRPr="00D73334">
          <w:rPr>
            <w:rStyle w:val="Hipervnculo"/>
            <w:rFonts w:ascii="Gotham" w:hAnsi="Gotham"/>
            <w:bCs/>
            <w:sz w:val="18"/>
            <w:szCs w:val="18"/>
          </w:rPr>
          <w:t>ssem@itaipem.org.mx</w:t>
        </w:r>
      </w:hyperlink>
    </w:p>
    <w:p w14:paraId="48DEBFAB" w14:textId="77777777" w:rsidR="00D73334" w:rsidRPr="00D73334" w:rsidRDefault="00D73334" w:rsidP="00D73334">
      <w:pPr>
        <w:spacing w:after="0" w:line="240" w:lineRule="atLeast"/>
        <w:ind w:left="-142" w:right="-232"/>
        <w:jc w:val="both"/>
        <w:rPr>
          <w:rFonts w:ascii="Gotham" w:hAnsi="Gotham"/>
          <w:bCs/>
          <w:sz w:val="18"/>
          <w:szCs w:val="18"/>
        </w:rPr>
      </w:pPr>
    </w:p>
    <w:p w14:paraId="610834D3" w14:textId="77777777" w:rsidR="00285EFE" w:rsidRPr="00D73334" w:rsidRDefault="00285EFE" w:rsidP="00285EFE">
      <w:pPr>
        <w:spacing w:after="0" w:line="240" w:lineRule="atLeast"/>
        <w:ind w:left="-142" w:right="-232"/>
        <w:jc w:val="both"/>
        <w:rPr>
          <w:rFonts w:ascii="Gotham" w:hAnsi="Gotham"/>
          <w:bCs/>
          <w:sz w:val="18"/>
          <w:szCs w:val="18"/>
        </w:rPr>
      </w:pPr>
      <w:r w:rsidRPr="00D73334">
        <w:rPr>
          <w:rFonts w:ascii="Gotham" w:hAnsi="Gotham"/>
          <w:bCs/>
          <w:sz w:val="18"/>
          <w:szCs w:val="18"/>
        </w:rPr>
        <w:t>Sin otro particular, reciba un cordial saludo.</w:t>
      </w:r>
    </w:p>
    <w:p w14:paraId="1F4ACFAB" w14:textId="77777777" w:rsidR="00285EFE" w:rsidRPr="00D73334" w:rsidRDefault="00285EFE" w:rsidP="00285EFE">
      <w:pPr>
        <w:spacing w:after="0" w:line="240" w:lineRule="atLeast"/>
        <w:ind w:left="-142" w:right="-232"/>
        <w:rPr>
          <w:rFonts w:ascii="Gotham Bold" w:hAnsi="Gotham Bold"/>
          <w:bCs/>
          <w:sz w:val="18"/>
          <w:szCs w:val="18"/>
        </w:rPr>
      </w:pPr>
    </w:p>
    <w:p w14:paraId="140DA878" w14:textId="77777777" w:rsidR="00285EFE" w:rsidRPr="00D73334" w:rsidRDefault="00285EFE" w:rsidP="00285EFE">
      <w:pPr>
        <w:spacing w:after="0" w:line="240" w:lineRule="atLeast"/>
        <w:ind w:left="-142" w:right="-232"/>
        <w:rPr>
          <w:rFonts w:ascii="Gotham Bold" w:hAnsi="Gotham Bold"/>
          <w:b/>
          <w:sz w:val="18"/>
          <w:szCs w:val="18"/>
          <w:lang w:val="de-DE"/>
        </w:rPr>
      </w:pPr>
      <w:r w:rsidRPr="00D73334">
        <w:rPr>
          <w:rFonts w:ascii="Gotham Bold" w:hAnsi="Gotham Bold"/>
          <w:b/>
          <w:sz w:val="18"/>
          <w:szCs w:val="18"/>
          <w:lang w:val="de-DE"/>
        </w:rPr>
        <w:t>A T E N T A M E N T E</w:t>
      </w:r>
    </w:p>
    <w:p w14:paraId="6B04B2CC" w14:textId="77777777" w:rsidR="00285EFE" w:rsidRPr="00D73334" w:rsidRDefault="00285EFE" w:rsidP="00285EFE">
      <w:pPr>
        <w:spacing w:after="0" w:line="240" w:lineRule="atLeast"/>
        <w:ind w:left="-142" w:right="-232"/>
        <w:rPr>
          <w:rFonts w:ascii="Gotham Bold" w:hAnsi="Gotham Bold"/>
          <w:bCs/>
          <w:sz w:val="18"/>
          <w:szCs w:val="18"/>
          <w:lang w:val="de-DE"/>
        </w:rPr>
      </w:pPr>
    </w:p>
    <w:p w14:paraId="748C7840" w14:textId="77777777" w:rsidR="00285EFE" w:rsidRPr="00D73334" w:rsidRDefault="00285EFE" w:rsidP="00285EFE">
      <w:pPr>
        <w:spacing w:after="0" w:line="240" w:lineRule="auto"/>
        <w:ind w:left="-142" w:right="-232"/>
        <w:rPr>
          <w:rFonts w:ascii="Gotham Bold" w:hAnsi="Gotham Bold"/>
          <w:b/>
          <w:bCs/>
          <w:sz w:val="18"/>
          <w:szCs w:val="18"/>
        </w:rPr>
      </w:pPr>
      <w:r w:rsidRPr="00D73334">
        <w:rPr>
          <w:rFonts w:ascii="Gotham Bold" w:hAnsi="Gotham Bold"/>
          <w:b/>
          <w:bCs/>
          <w:sz w:val="18"/>
          <w:szCs w:val="18"/>
        </w:rPr>
        <w:t>LIC. JOSÉ RUBÉN MEJÍA DUQUE</w:t>
      </w:r>
    </w:p>
    <w:p w14:paraId="4BEE1334" w14:textId="77777777" w:rsidR="00285EFE" w:rsidRPr="00D73334" w:rsidRDefault="00285EFE" w:rsidP="00285EFE">
      <w:pPr>
        <w:spacing w:after="0" w:line="240" w:lineRule="auto"/>
        <w:ind w:left="-142" w:right="-232"/>
        <w:rPr>
          <w:rFonts w:ascii="Gotham Bold" w:hAnsi="Gotham Bold"/>
          <w:b/>
          <w:bCs/>
          <w:sz w:val="18"/>
          <w:szCs w:val="18"/>
        </w:rPr>
      </w:pPr>
      <w:r w:rsidRPr="00D73334">
        <w:rPr>
          <w:rFonts w:ascii="Gotham Bold" w:hAnsi="Gotham Bold"/>
          <w:b/>
          <w:bCs/>
          <w:sz w:val="18"/>
          <w:szCs w:val="18"/>
        </w:rPr>
        <w:t>TITULAR DE LA UNIDAD DE TRANSPARENCIA DEL SECRETARIADO</w:t>
      </w:r>
    </w:p>
    <w:p w14:paraId="076397B9" w14:textId="77777777" w:rsidR="00285EFE" w:rsidRPr="00D73334" w:rsidRDefault="00285EFE" w:rsidP="00285EFE">
      <w:pPr>
        <w:spacing w:after="0" w:line="240" w:lineRule="auto"/>
        <w:ind w:left="-142" w:right="-232"/>
        <w:rPr>
          <w:rFonts w:ascii="Gotham Bold" w:hAnsi="Gotham Bold"/>
          <w:b/>
          <w:bCs/>
          <w:sz w:val="18"/>
          <w:szCs w:val="18"/>
        </w:rPr>
      </w:pPr>
      <w:r w:rsidRPr="00D73334">
        <w:rPr>
          <w:rFonts w:ascii="Gotham Bold" w:hAnsi="Gotham Bold"/>
          <w:b/>
          <w:bCs/>
          <w:sz w:val="18"/>
          <w:szCs w:val="18"/>
        </w:rPr>
        <w:t>EJECUTIVO DEL SISTEMA ESTATAL DE SEGURIDAD PÚBLICA</w:t>
      </w:r>
    </w:p>
    <w:p w14:paraId="3F1C2EB2" w14:textId="6C9CDA09" w:rsidR="00285EFE" w:rsidRPr="00D73334" w:rsidRDefault="00285EFE" w:rsidP="00C75A4B">
      <w:pPr>
        <w:spacing w:after="0" w:line="240" w:lineRule="auto"/>
        <w:ind w:left="-142" w:right="-232"/>
        <w:rPr>
          <w:sz w:val="18"/>
          <w:szCs w:val="18"/>
        </w:rPr>
      </w:pPr>
      <w:r w:rsidRPr="00D73334">
        <w:rPr>
          <w:rFonts w:ascii="Gotham Bold" w:eastAsia="Times New Roman" w:hAnsi="Gotham Bold" w:cs="Times New Roman"/>
          <w:color w:val="000000" w:themeColor="text1"/>
          <w:sz w:val="12"/>
          <w:szCs w:val="12"/>
        </w:rPr>
        <w:t xml:space="preserve">Elaboró. </w:t>
      </w:r>
      <w:r w:rsidRPr="00D73334">
        <w:rPr>
          <w:rFonts w:ascii="Gotham Bold" w:eastAsia="Times New Roman" w:hAnsi="Gotham Bold" w:cs="Times New Roman"/>
          <w:color w:val="000000" w:themeColor="text1"/>
          <w:sz w:val="12"/>
          <w:szCs w:val="12"/>
          <w:lang w:val="en-US"/>
        </w:rPr>
        <w:t>ALCM</w:t>
      </w:r>
    </w:p>
    <w:sectPr w:rsidR="00285EFE" w:rsidRPr="00D73334" w:rsidSect="00D73334">
      <w:headerReference w:type="even" r:id="rId8"/>
      <w:headerReference w:type="default" r:id="rId9"/>
      <w:footerReference w:type="even" r:id="rId10"/>
      <w:footerReference w:type="default" r:id="rId11"/>
      <w:headerReference w:type="first" r:id="rId12"/>
      <w:footerReference w:type="first" r:id="rId13"/>
      <w:pgSz w:w="12242" w:h="15842" w:code="119"/>
      <w:pgMar w:top="1985" w:right="1701" w:bottom="1418" w:left="1701"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942D78" w14:textId="77777777" w:rsidR="00E4624F" w:rsidRDefault="00E4624F">
      <w:pPr>
        <w:spacing w:after="0" w:line="240" w:lineRule="auto"/>
      </w:pPr>
      <w:r>
        <w:separator/>
      </w:r>
    </w:p>
  </w:endnote>
  <w:endnote w:type="continuationSeparator" w:id="0">
    <w:p w14:paraId="5B77386C" w14:textId="77777777" w:rsidR="00E4624F" w:rsidRDefault="00E462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otham Bold">
    <w:panose1 w:val="00000000000000000000"/>
    <w:charset w:val="00"/>
    <w:family w:val="modern"/>
    <w:notTrueType/>
    <w:pitch w:val="variable"/>
    <w:sig w:usb0="A00000FF" w:usb1="4000004A" w:usb2="00000000" w:usb3="00000000" w:csb0="0000000B" w:csb1="00000000"/>
  </w:font>
  <w:font w:name="Montserrat SemiBold">
    <w:panose1 w:val="00000000000000000000"/>
    <w:charset w:val="00"/>
    <w:family w:val="auto"/>
    <w:pitch w:val="variable"/>
    <w:sig w:usb0="A00002FF" w:usb1="4000207B" w:usb2="00000000" w:usb3="00000000" w:csb0="00000197" w:csb1="00000000"/>
  </w:font>
  <w:font w:name="Gotham">
    <w:panose1 w:val="02000504050000020004"/>
    <w:charset w:val="00"/>
    <w:family w:val="auto"/>
    <w:pitch w:val="variable"/>
    <w:sig w:usb0="800000A7"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9EF0BA" w14:textId="77777777" w:rsidR="004D3E14" w:rsidRDefault="004D3E1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5187D7" w14:textId="77777777" w:rsidR="009D76AD" w:rsidRDefault="009D76AD" w:rsidP="00013192">
    <w:pPr>
      <w:pStyle w:val="Sinespaciado"/>
    </w:pPr>
  </w:p>
  <w:p w14:paraId="72D508A3" w14:textId="77777777" w:rsidR="009D76AD" w:rsidRDefault="009D76AD">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3E221A" w14:textId="77777777" w:rsidR="004D3E14" w:rsidRDefault="004D3E1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ACD81D" w14:textId="77777777" w:rsidR="00E4624F" w:rsidRDefault="00E4624F">
      <w:pPr>
        <w:spacing w:after="0" w:line="240" w:lineRule="auto"/>
      </w:pPr>
      <w:r>
        <w:separator/>
      </w:r>
    </w:p>
  </w:footnote>
  <w:footnote w:type="continuationSeparator" w:id="0">
    <w:p w14:paraId="2EBA4DA0" w14:textId="77777777" w:rsidR="00E4624F" w:rsidRDefault="00E462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3D80C1" w14:textId="77777777" w:rsidR="004D3E14" w:rsidRDefault="004D3E1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CCC540" w14:textId="622BD91B" w:rsidR="009D76AD" w:rsidRDefault="00000000">
    <w:pPr>
      <w:pStyle w:val="Encabezado"/>
    </w:pPr>
    <w:sdt>
      <w:sdtPr>
        <w:id w:val="-902211317"/>
        <w:docPartObj>
          <w:docPartGallery w:val="Page Numbers (Margins)"/>
          <w:docPartUnique/>
        </w:docPartObj>
      </w:sdtPr>
      <w:sdtContent>
        <w:r>
          <w:rPr>
            <w:noProof/>
          </w:rPr>
          <mc:AlternateContent>
            <mc:Choice Requires="wps">
              <w:drawing>
                <wp:anchor distT="0" distB="0" distL="114300" distR="114300" simplePos="0" relativeHeight="251664384" behindDoc="0" locked="0" layoutInCell="0" allowOverlap="1" wp14:anchorId="0717B1A1" wp14:editId="3306333F">
                  <wp:simplePos x="0" y="0"/>
                  <wp:positionH relativeFrom="rightMargin">
                    <wp:align>center</wp:align>
                  </wp:positionH>
                  <wp:positionV relativeFrom="margin">
                    <wp:align>bottom</wp:align>
                  </wp:positionV>
                  <wp:extent cx="510540" cy="2183130"/>
                  <wp:effectExtent l="0" t="0" r="3810" b="0"/>
                  <wp:wrapNone/>
                  <wp:docPr id="1891626134"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1F75C3" w14:textId="77777777" w:rsidR="009D76AD" w:rsidRDefault="00000000">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44"/>
                                  <w:szCs w:val="44"/>
                                  <w:lang w:val="es-ES"/>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0717B1A1" id="Rectángulo 1" o:spid="_x0000_s1026" style="position:absolute;margin-left:0;margin-top:0;width:40.2pt;height:171.9pt;z-index:25166438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4E1F75C3" w14:textId="77777777" w:rsidR="00000000" w:rsidRDefault="00000000">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44"/>
                            <w:szCs w:val="44"/>
                            <w:lang w:val="es-ES"/>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6C7D6B" w14:textId="77777777" w:rsidR="004D3E14" w:rsidRDefault="004D3E1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CD67780"/>
    <w:multiLevelType w:val="hybridMultilevel"/>
    <w:tmpl w:val="647A2EF6"/>
    <w:lvl w:ilvl="0" w:tplc="080A0001">
      <w:start w:val="1"/>
      <w:numFmt w:val="bullet"/>
      <w:lvlText w:val=""/>
      <w:lvlJc w:val="left"/>
      <w:pPr>
        <w:ind w:left="578" w:hanging="360"/>
      </w:pPr>
      <w:rPr>
        <w:rFonts w:ascii="Symbol" w:hAnsi="Symbol" w:hint="default"/>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1" w15:restartNumberingAfterBreak="0">
    <w:nsid w:val="60BC52C2"/>
    <w:multiLevelType w:val="hybridMultilevel"/>
    <w:tmpl w:val="1ED08D3A"/>
    <w:lvl w:ilvl="0" w:tplc="080A0001">
      <w:start w:val="1"/>
      <w:numFmt w:val="bullet"/>
      <w:lvlText w:val=""/>
      <w:lvlJc w:val="left"/>
      <w:pPr>
        <w:ind w:left="578" w:hanging="360"/>
      </w:pPr>
      <w:rPr>
        <w:rFonts w:ascii="Symbol" w:hAnsi="Symbol" w:hint="default"/>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843080650">
    <w:abstractNumId w:val="1"/>
  </w:num>
  <w:num w:numId="2" w16cid:durableId="19550944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5EFE"/>
    <w:rsid w:val="001D7DC3"/>
    <w:rsid w:val="00285EFE"/>
    <w:rsid w:val="002A6AC3"/>
    <w:rsid w:val="004D3E14"/>
    <w:rsid w:val="009D76AD"/>
    <w:rsid w:val="00B55ABA"/>
    <w:rsid w:val="00C75A4B"/>
    <w:rsid w:val="00D73334"/>
    <w:rsid w:val="00E4624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959979"/>
  <w15:chartTrackingRefBased/>
  <w15:docId w15:val="{7A4BA0AC-F984-497A-8A2C-E6957B717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5EFE"/>
    <w:pPr>
      <w:spacing w:line="259" w:lineRule="auto"/>
    </w:pPr>
    <w:rPr>
      <w:kern w:val="0"/>
      <w:sz w:val="22"/>
      <w:szCs w:val="22"/>
    </w:rPr>
  </w:style>
  <w:style w:type="paragraph" w:styleId="Ttulo1">
    <w:name w:val="heading 1"/>
    <w:basedOn w:val="Normal"/>
    <w:next w:val="Normal"/>
    <w:link w:val="Ttulo1Car"/>
    <w:uiPriority w:val="9"/>
    <w:qFormat/>
    <w:rsid w:val="00285EF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285EF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285EF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285EF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285EF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285EF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285EF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285EF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285EF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85EF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285EF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285EF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285EF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285EF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285EF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285EF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285EF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285EFE"/>
    <w:rPr>
      <w:rFonts w:eastAsiaTheme="majorEastAsia" w:cstheme="majorBidi"/>
      <w:color w:val="272727" w:themeColor="text1" w:themeTint="D8"/>
    </w:rPr>
  </w:style>
  <w:style w:type="paragraph" w:styleId="Ttulo">
    <w:name w:val="Title"/>
    <w:basedOn w:val="Normal"/>
    <w:next w:val="Normal"/>
    <w:link w:val="TtuloCar"/>
    <w:uiPriority w:val="10"/>
    <w:qFormat/>
    <w:rsid w:val="00285EF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285EF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285EF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285EF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285EFE"/>
    <w:pPr>
      <w:spacing w:before="160"/>
      <w:jc w:val="center"/>
    </w:pPr>
    <w:rPr>
      <w:i/>
      <w:iCs/>
      <w:color w:val="404040" w:themeColor="text1" w:themeTint="BF"/>
    </w:rPr>
  </w:style>
  <w:style w:type="character" w:customStyle="1" w:styleId="CitaCar">
    <w:name w:val="Cita Car"/>
    <w:basedOn w:val="Fuentedeprrafopredeter"/>
    <w:link w:val="Cita"/>
    <w:uiPriority w:val="29"/>
    <w:rsid w:val="00285EFE"/>
    <w:rPr>
      <w:i/>
      <w:iCs/>
      <w:color w:val="404040" w:themeColor="text1" w:themeTint="BF"/>
    </w:rPr>
  </w:style>
  <w:style w:type="paragraph" w:styleId="Prrafodelista">
    <w:name w:val="List Paragraph"/>
    <w:aliases w:val="Viñetas,lp1,List Paragraph1,Lista de nivel 1,4 Párrafo de lista,Figuras,Dot pt,No Spacing1,List Paragraph Char Char Char,Indicator Text,Numbered Para 1,DH1,Listas,Light Grid - Accent 31,Colorful List - Accent 11,Bullet 1"/>
    <w:basedOn w:val="Normal"/>
    <w:link w:val="PrrafodelistaCar"/>
    <w:uiPriority w:val="34"/>
    <w:qFormat/>
    <w:rsid w:val="00285EFE"/>
    <w:pPr>
      <w:ind w:left="720"/>
      <w:contextualSpacing/>
    </w:pPr>
  </w:style>
  <w:style w:type="character" w:styleId="nfasisintenso">
    <w:name w:val="Intense Emphasis"/>
    <w:basedOn w:val="Fuentedeprrafopredeter"/>
    <w:uiPriority w:val="21"/>
    <w:qFormat/>
    <w:rsid w:val="00285EFE"/>
    <w:rPr>
      <w:i/>
      <w:iCs/>
      <w:color w:val="0F4761" w:themeColor="accent1" w:themeShade="BF"/>
    </w:rPr>
  </w:style>
  <w:style w:type="paragraph" w:styleId="Citadestacada">
    <w:name w:val="Intense Quote"/>
    <w:basedOn w:val="Normal"/>
    <w:next w:val="Normal"/>
    <w:link w:val="CitadestacadaCar"/>
    <w:uiPriority w:val="30"/>
    <w:qFormat/>
    <w:rsid w:val="00285EF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285EFE"/>
    <w:rPr>
      <w:i/>
      <w:iCs/>
      <w:color w:val="0F4761" w:themeColor="accent1" w:themeShade="BF"/>
    </w:rPr>
  </w:style>
  <w:style w:type="character" w:styleId="Referenciaintensa">
    <w:name w:val="Intense Reference"/>
    <w:basedOn w:val="Fuentedeprrafopredeter"/>
    <w:uiPriority w:val="32"/>
    <w:qFormat/>
    <w:rsid w:val="00285EFE"/>
    <w:rPr>
      <w:b/>
      <w:bCs/>
      <w:smallCaps/>
      <w:color w:val="0F4761" w:themeColor="accent1" w:themeShade="BF"/>
      <w:spacing w:val="5"/>
    </w:rPr>
  </w:style>
  <w:style w:type="paragraph" w:styleId="Encabezado">
    <w:name w:val="header"/>
    <w:basedOn w:val="Normal"/>
    <w:link w:val="EncabezadoCar"/>
    <w:uiPriority w:val="99"/>
    <w:unhideWhenUsed/>
    <w:rsid w:val="00285EF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85EFE"/>
    <w:rPr>
      <w:kern w:val="0"/>
      <w:sz w:val="22"/>
      <w:szCs w:val="22"/>
    </w:rPr>
  </w:style>
  <w:style w:type="paragraph" w:styleId="Piedepgina">
    <w:name w:val="footer"/>
    <w:basedOn w:val="Normal"/>
    <w:link w:val="PiedepginaCar"/>
    <w:uiPriority w:val="99"/>
    <w:unhideWhenUsed/>
    <w:rsid w:val="00285EF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85EFE"/>
    <w:rPr>
      <w:kern w:val="0"/>
      <w:sz w:val="22"/>
      <w:szCs w:val="22"/>
    </w:rPr>
  </w:style>
  <w:style w:type="paragraph" w:styleId="Sinespaciado">
    <w:name w:val="No Spacing"/>
    <w:uiPriority w:val="1"/>
    <w:qFormat/>
    <w:rsid w:val="00285EFE"/>
    <w:pPr>
      <w:spacing w:after="0" w:line="240" w:lineRule="auto"/>
    </w:pPr>
    <w:rPr>
      <w:kern w:val="0"/>
      <w:sz w:val="22"/>
      <w:szCs w:val="22"/>
    </w:rPr>
  </w:style>
  <w:style w:type="character" w:styleId="Hipervnculo">
    <w:name w:val="Hyperlink"/>
    <w:basedOn w:val="Fuentedeprrafopredeter"/>
    <w:uiPriority w:val="99"/>
    <w:unhideWhenUsed/>
    <w:rsid w:val="00285EFE"/>
    <w:rPr>
      <w:color w:val="467886" w:themeColor="hyperlink"/>
      <w:u w:val="single"/>
    </w:rPr>
  </w:style>
  <w:style w:type="character" w:customStyle="1" w:styleId="PrrafodelistaCar">
    <w:name w:val="Párrafo de lista Car"/>
    <w:aliases w:val="Viñetas Car,lp1 Car,List Paragraph1 Car,Lista de nivel 1 Car,4 Párrafo de lista Car,Figuras Car,Dot pt Car,No Spacing1 Car,List Paragraph Char Char Char Car,Indicator Text Car,Numbered Para 1 Car,DH1 Car,Listas Car,Bullet 1 Car"/>
    <w:basedOn w:val="Fuentedeprrafopredeter"/>
    <w:link w:val="Prrafodelista"/>
    <w:uiPriority w:val="34"/>
    <w:qFormat/>
    <w:rsid w:val="00285E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ssem@itaipem.org.mx"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41</TotalTime>
  <Pages>4</Pages>
  <Words>1845</Words>
  <Characters>10150</Characters>
  <Application>Microsoft Office Word</Application>
  <DocSecurity>0</DocSecurity>
  <Lines>84</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LUZ CRUZ MATEO</dc:creator>
  <cp:keywords/>
  <dc:description/>
  <cp:lastModifiedBy>ALMA LUZ CRUZ MATEO</cp:lastModifiedBy>
  <cp:revision>3</cp:revision>
  <dcterms:created xsi:type="dcterms:W3CDTF">2024-09-06T21:53:00Z</dcterms:created>
  <dcterms:modified xsi:type="dcterms:W3CDTF">2024-09-11T15:33:00Z</dcterms:modified>
</cp:coreProperties>
</file>