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D89F46" w14:textId="77777777" w:rsidR="00BE5999" w:rsidRPr="007A377B" w:rsidRDefault="00BE5999" w:rsidP="00BE5999">
      <w:pPr>
        <w:spacing w:after="0" w:line="240" w:lineRule="atLeast"/>
        <w:ind w:left="-142" w:right="-232"/>
        <w:jc w:val="right"/>
        <w:rPr>
          <w:rFonts w:ascii="Gotham Bold" w:eastAsia="Montserrat SemiBold" w:hAnsi="Gotham Bold" w:cs="Montserrat SemiBold"/>
          <w:b/>
          <w:bCs/>
          <w:color w:val="000000" w:themeColor="text1"/>
        </w:rPr>
      </w:pPr>
    </w:p>
    <w:p w14:paraId="6BC72C80" w14:textId="33134206" w:rsidR="001F05CA" w:rsidRPr="007A377B" w:rsidRDefault="001F05CA" w:rsidP="00BE5999">
      <w:pPr>
        <w:spacing w:after="0" w:line="240" w:lineRule="atLeast"/>
        <w:ind w:left="-142" w:right="-232"/>
        <w:jc w:val="right"/>
        <w:rPr>
          <w:rFonts w:ascii="Gotham Bold" w:eastAsia="Montserrat SemiBold" w:hAnsi="Gotham Bold" w:cs="Montserrat SemiBold"/>
          <w:b/>
          <w:bCs/>
          <w:color w:val="000000" w:themeColor="text1"/>
        </w:rPr>
      </w:pPr>
      <w:r w:rsidRPr="007A377B">
        <w:rPr>
          <w:rFonts w:ascii="Gotham Bold" w:eastAsia="Montserrat SemiBold" w:hAnsi="Gotham Bold" w:cs="Montserrat SemiBold"/>
          <w:b/>
          <w:bCs/>
          <w:color w:val="000000" w:themeColor="text1"/>
        </w:rPr>
        <w:t>Metepec, México; a 0</w:t>
      </w:r>
      <w:r w:rsidR="001B2EA8" w:rsidRPr="007A377B">
        <w:rPr>
          <w:rFonts w:ascii="Gotham Bold" w:eastAsia="Montserrat SemiBold" w:hAnsi="Gotham Bold" w:cs="Montserrat SemiBold"/>
          <w:b/>
          <w:bCs/>
          <w:color w:val="000000" w:themeColor="text1"/>
        </w:rPr>
        <w:t>8</w:t>
      </w:r>
      <w:r w:rsidRPr="007A377B">
        <w:rPr>
          <w:rFonts w:ascii="Gotham Bold" w:eastAsia="Montserrat SemiBold" w:hAnsi="Gotham Bold" w:cs="Montserrat SemiBold"/>
          <w:b/>
          <w:bCs/>
          <w:color w:val="000000" w:themeColor="text1"/>
        </w:rPr>
        <w:t xml:space="preserve"> de julio de 2024</w:t>
      </w:r>
    </w:p>
    <w:p w14:paraId="53032AED" w14:textId="4D0C63C5" w:rsidR="001F05CA" w:rsidRPr="007A377B" w:rsidRDefault="001F05CA" w:rsidP="00BE5999">
      <w:pPr>
        <w:spacing w:after="0" w:line="240" w:lineRule="atLeast"/>
        <w:ind w:left="-142" w:right="-232"/>
        <w:jc w:val="right"/>
        <w:rPr>
          <w:rFonts w:ascii="Gotham Bold" w:eastAsia="Montserrat SemiBold" w:hAnsi="Gotham Bold" w:cs="Montserrat SemiBold"/>
          <w:b/>
          <w:bCs/>
          <w:color w:val="000000" w:themeColor="text1"/>
        </w:rPr>
      </w:pPr>
      <w:r w:rsidRPr="007A377B">
        <w:rPr>
          <w:rFonts w:ascii="Gotham Bold" w:eastAsia="Montserrat SemiBold" w:hAnsi="Gotham Bold" w:cs="Montserrat SemiBold"/>
          <w:b/>
          <w:bCs/>
          <w:color w:val="000000" w:themeColor="text1"/>
        </w:rPr>
        <w:t xml:space="preserve">Oficio No.: </w:t>
      </w:r>
      <w:r w:rsidRPr="007A377B">
        <w:rPr>
          <w:rFonts w:ascii="Gotham Bold" w:eastAsia="Montserrat SemiBold" w:hAnsi="Gotham Bold" w:cs="Montserrat SemiBold"/>
          <w:b/>
          <w:bCs/>
          <w:iCs/>
          <w:color w:val="000000" w:themeColor="text1"/>
        </w:rPr>
        <w:t>206B0110000100S</w:t>
      </w:r>
      <w:r w:rsidRPr="007A377B">
        <w:rPr>
          <w:rFonts w:ascii="Gotham Bold" w:eastAsia="Montserrat SemiBold" w:hAnsi="Gotham Bold" w:cs="Montserrat SemiBold"/>
          <w:b/>
          <w:bCs/>
          <w:color w:val="000000" w:themeColor="text1"/>
        </w:rPr>
        <w:t>/SP/UT/3</w:t>
      </w:r>
      <w:r w:rsidR="001B2EA8" w:rsidRPr="007A377B">
        <w:rPr>
          <w:rFonts w:ascii="Gotham Bold" w:eastAsia="Montserrat SemiBold" w:hAnsi="Gotham Bold" w:cs="Montserrat SemiBold"/>
          <w:b/>
          <w:bCs/>
          <w:color w:val="000000" w:themeColor="text1"/>
        </w:rPr>
        <w:t>48</w:t>
      </w:r>
      <w:r w:rsidRPr="007A377B">
        <w:rPr>
          <w:rFonts w:ascii="Gotham Bold" w:eastAsia="Montserrat SemiBold" w:hAnsi="Gotham Bold" w:cs="Montserrat SemiBold"/>
          <w:b/>
          <w:bCs/>
          <w:color w:val="000000" w:themeColor="text1"/>
        </w:rPr>
        <w:t>/2024</w:t>
      </w:r>
    </w:p>
    <w:p w14:paraId="00FD30D9" w14:textId="77777777" w:rsidR="00BE5999" w:rsidRPr="007A377B" w:rsidRDefault="00BE5999" w:rsidP="00BE5999">
      <w:pPr>
        <w:spacing w:after="0" w:line="240" w:lineRule="atLeast"/>
        <w:ind w:left="-142" w:right="-232"/>
        <w:jc w:val="right"/>
        <w:rPr>
          <w:rFonts w:ascii="Gotham Bold" w:eastAsia="Montserrat SemiBold" w:hAnsi="Gotham Bold" w:cs="Montserrat SemiBold"/>
          <w:b/>
          <w:bCs/>
          <w:color w:val="000000" w:themeColor="text1"/>
        </w:rPr>
      </w:pPr>
    </w:p>
    <w:p w14:paraId="3521C416" w14:textId="77777777" w:rsidR="00BE5999" w:rsidRPr="007A377B" w:rsidRDefault="00BE5999" w:rsidP="00BE5999">
      <w:pPr>
        <w:spacing w:after="0" w:line="240" w:lineRule="atLeast"/>
        <w:ind w:left="-142" w:right="-232"/>
        <w:jc w:val="right"/>
        <w:rPr>
          <w:rFonts w:ascii="Gotham Bold" w:eastAsia="Montserrat SemiBold" w:hAnsi="Gotham Bold" w:cs="Montserrat SemiBold"/>
          <w:b/>
          <w:bCs/>
          <w:color w:val="000000" w:themeColor="text1"/>
        </w:rPr>
      </w:pPr>
    </w:p>
    <w:p w14:paraId="43BFE078" w14:textId="77777777" w:rsidR="00BE5999" w:rsidRPr="007A377B" w:rsidRDefault="00BE5999" w:rsidP="00BE5999">
      <w:pPr>
        <w:spacing w:after="0" w:line="240" w:lineRule="atLeast"/>
        <w:ind w:left="-142" w:right="-232"/>
        <w:jc w:val="right"/>
        <w:rPr>
          <w:rFonts w:ascii="Gotham Bold" w:eastAsia="Montserrat SemiBold" w:hAnsi="Gotham Bold" w:cs="Montserrat SemiBold"/>
          <w:b/>
          <w:bCs/>
          <w:color w:val="000000" w:themeColor="text1"/>
        </w:rPr>
      </w:pPr>
    </w:p>
    <w:p w14:paraId="77677581" w14:textId="77777777" w:rsidR="001F05CA" w:rsidRPr="007A377B" w:rsidRDefault="001F05CA" w:rsidP="00BE5999">
      <w:pPr>
        <w:spacing w:after="0" w:line="240" w:lineRule="atLeast"/>
        <w:ind w:left="-142" w:right="-232"/>
        <w:jc w:val="right"/>
        <w:rPr>
          <w:rFonts w:ascii="Gotham Bold" w:eastAsia="Montserrat SemiBold" w:hAnsi="Gotham Bold" w:cs="Montserrat SemiBold"/>
          <w:b/>
          <w:bCs/>
          <w:color w:val="000000" w:themeColor="text1"/>
        </w:rPr>
      </w:pPr>
    </w:p>
    <w:p w14:paraId="5713BE2A" w14:textId="77777777" w:rsidR="001F05CA" w:rsidRPr="007A377B" w:rsidRDefault="001F05CA" w:rsidP="00BE5999">
      <w:pPr>
        <w:spacing w:after="0" w:line="240" w:lineRule="atLeast"/>
        <w:ind w:left="-142" w:right="-232"/>
        <w:jc w:val="both"/>
        <w:rPr>
          <w:rFonts w:ascii="Gotham Bold" w:eastAsia="Times New Roman" w:hAnsi="Gotham Bold" w:cs="Times New Roman"/>
          <w:b/>
          <w:bCs/>
          <w:color w:val="000000" w:themeColor="text1"/>
          <w:sz w:val="30"/>
          <w:szCs w:val="30"/>
        </w:rPr>
      </w:pPr>
      <w:r w:rsidRPr="007A377B">
        <w:rPr>
          <w:rFonts w:ascii="Gotham Bold" w:eastAsia="Times New Roman" w:hAnsi="Gotham Bold" w:cs="Times New Roman"/>
          <w:b/>
          <w:bCs/>
          <w:color w:val="000000" w:themeColor="text1"/>
          <w:sz w:val="30"/>
          <w:szCs w:val="30"/>
        </w:rPr>
        <w:t>C. SOLICITANTE</w:t>
      </w:r>
    </w:p>
    <w:p w14:paraId="2B73251B" w14:textId="77777777" w:rsidR="001F05CA" w:rsidRPr="007A377B" w:rsidRDefault="001F05CA" w:rsidP="00BE5999">
      <w:pPr>
        <w:spacing w:after="0" w:line="240" w:lineRule="atLeast"/>
        <w:ind w:left="-142" w:right="-232"/>
        <w:jc w:val="both"/>
        <w:rPr>
          <w:rFonts w:ascii="Gotham Bold" w:eastAsia="Times New Roman" w:hAnsi="Gotham Bold" w:cs="Times New Roman"/>
          <w:b/>
          <w:bCs/>
          <w:color w:val="000000" w:themeColor="text1"/>
          <w:sz w:val="30"/>
          <w:szCs w:val="30"/>
        </w:rPr>
      </w:pPr>
      <w:r w:rsidRPr="007A377B">
        <w:rPr>
          <w:rFonts w:ascii="Gotham Bold" w:eastAsia="Times New Roman" w:hAnsi="Gotham Bold" w:cs="Times New Roman"/>
          <w:b/>
          <w:bCs/>
          <w:color w:val="000000" w:themeColor="text1"/>
          <w:sz w:val="30"/>
          <w:szCs w:val="30"/>
        </w:rPr>
        <w:t xml:space="preserve">P R E S E N T E </w:t>
      </w:r>
    </w:p>
    <w:p w14:paraId="28B8C140" w14:textId="77777777" w:rsidR="001F05CA" w:rsidRPr="007A377B" w:rsidRDefault="001F05CA" w:rsidP="00BE5999">
      <w:pPr>
        <w:spacing w:after="0" w:line="240" w:lineRule="atLeast"/>
        <w:ind w:left="-142" w:right="-232"/>
        <w:jc w:val="both"/>
        <w:rPr>
          <w:rFonts w:ascii="Gotham" w:hAnsi="Gotham"/>
          <w:bCs/>
        </w:rPr>
      </w:pPr>
    </w:p>
    <w:p w14:paraId="6838052F" w14:textId="77777777" w:rsidR="00BE5999" w:rsidRPr="007A377B" w:rsidRDefault="00BE5999" w:rsidP="00BE5999">
      <w:pPr>
        <w:spacing w:after="0" w:line="240" w:lineRule="atLeast"/>
        <w:ind w:left="-142" w:right="-232"/>
        <w:jc w:val="both"/>
        <w:rPr>
          <w:rFonts w:ascii="Gotham" w:hAnsi="Gotham"/>
          <w:bCs/>
        </w:rPr>
      </w:pPr>
    </w:p>
    <w:p w14:paraId="50561F06" w14:textId="77777777" w:rsidR="00BE5999" w:rsidRPr="007A377B" w:rsidRDefault="00BE5999" w:rsidP="00BE5999">
      <w:pPr>
        <w:spacing w:after="0" w:line="240" w:lineRule="atLeast"/>
        <w:ind w:left="-142" w:right="-232"/>
        <w:jc w:val="both"/>
        <w:rPr>
          <w:rFonts w:ascii="Gotham" w:hAnsi="Gotham"/>
          <w:bCs/>
        </w:rPr>
      </w:pPr>
    </w:p>
    <w:p w14:paraId="52DA8AF1" w14:textId="29D4EA94" w:rsidR="001F05CA" w:rsidRPr="007A377B" w:rsidRDefault="001F05CA" w:rsidP="00BE5999">
      <w:pPr>
        <w:spacing w:after="0" w:line="240" w:lineRule="atLeast"/>
        <w:ind w:left="-142" w:right="-232"/>
        <w:jc w:val="both"/>
        <w:rPr>
          <w:rFonts w:ascii="Gotham" w:hAnsi="Gotham"/>
          <w:bCs/>
        </w:rPr>
      </w:pPr>
      <w:r w:rsidRPr="007A377B">
        <w:rPr>
          <w:rFonts w:ascii="Gotham" w:hAnsi="Gotham"/>
          <w:bCs/>
        </w:rPr>
        <w:t xml:space="preserve">Con fundamento en lo dispuesto por los artículos 3 fracción XLIV, 46 fracción I, 50 y 51 de la Ley de Transparencia y Acceso a la Información Pública del Estado de México y Municipios; y, 59 de la Ley de Seguridad del Estado de México, el Secretariado Ejecutivo, órgano desconcentrado de la Secretaría de Seguridad del Estado de México, en atención a su solicitud de información </w:t>
      </w:r>
      <w:r w:rsidRPr="007A377B">
        <w:rPr>
          <w:rFonts w:ascii="Gotham" w:hAnsi="Gotham"/>
          <w:b/>
        </w:rPr>
        <w:t>0008</w:t>
      </w:r>
      <w:r w:rsidR="001B2EA8" w:rsidRPr="007A377B">
        <w:rPr>
          <w:rFonts w:ascii="Gotham" w:hAnsi="Gotham"/>
          <w:b/>
        </w:rPr>
        <w:t>9</w:t>
      </w:r>
      <w:r w:rsidRPr="007A377B">
        <w:rPr>
          <w:rFonts w:ascii="Gotham" w:hAnsi="Gotham"/>
          <w:b/>
        </w:rPr>
        <w:t>/SESESP/IP/2024</w:t>
      </w:r>
      <w:r w:rsidRPr="007A377B">
        <w:rPr>
          <w:rFonts w:ascii="Gotham" w:hAnsi="Gotham"/>
          <w:bCs/>
        </w:rPr>
        <w:t xml:space="preserve">, recibida y registrada en el Sistema de Acceso a la Información Mexiquense (SAIMEX) de este Sujeto Obligado, el </w:t>
      </w:r>
      <w:r w:rsidR="001B2EA8" w:rsidRPr="007A377B">
        <w:rPr>
          <w:rFonts w:ascii="Gotham" w:hAnsi="Gotham"/>
          <w:bCs/>
        </w:rPr>
        <w:t>05</w:t>
      </w:r>
      <w:r w:rsidRPr="007A377B">
        <w:rPr>
          <w:rFonts w:ascii="Gotham" w:hAnsi="Gotham"/>
          <w:bCs/>
        </w:rPr>
        <w:t xml:space="preserve"> de julio de 2024, que a la letra dice:</w:t>
      </w:r>
    </w:p>
    <w:p w14:paraId="25111F76" w14:textId="77777777" w:rsidR="001F05CA" w:rsidRPr="007A377B" w:rsidRDefault="001F05CA" w:rsidP="00BE5999">
      <w:pPr>
        <w:spacing w:after="0" w:line="240" w:lineRule="atLeast"/>
        <w:ind w:left="-142" w:right="-232"/>
        <w:jc w:val="both"/>
        <w:rPr>
          <w:rFonts w:ascii="Gotham" w:hAnsi="Gotham"/>
          <w:bCs/>
        </w:rPr>
      </w:pPr>
    </w:p>
    <w:p w14:paraId="1CF0B887" w14:textId="6DDE491C" w:rsidR="001F05CA" w:rsidRPr="007A377B" w:rsidRDefault="001F05CA" w:rsidP="00BE5999">
      <w:pPr>
        <w:spacing w:after="0" w:line="240" w:lineRule="atLeast"/>
        <w:ind w:left="-142" w:right="-232"/>
        <w:jc w:val="both"/>
        <w:rPr>
          <w:rFonts w:ascii="Gotham" w:hAnsi="Gotham"/>
          <w:bCs/>
        </w:rPr>
      </w:pPr>
      <w:r w:rsidRPr="007A377B">
        <w:rPr>
          <w:rFonts w:ascii="Gotham" w:hAnsi="Gotham"/>
          <w:bCs/>
          <w:i/>
          <w:iCs/>
        </w:rPr>
        <w:t>“</w:t>
      </w:r>
      <w:r w:rsidR="001B2EA8" w:rsidRPr="007A377B">
        <w:rPr>
          <w:rFonts w:ascii="Gotham" w:hAnsi="Gotham"/>
          <w:bCs/>
          <w:i/>
          <w:iCs/>
        </w:rPr>
        <w:t>SE SOLICITA PROPORCIONE INFORMACION PUBLICA DE LO SIGUIENTE: INFORME SI EN AVENIDA DOCTOR AUGUSTO JUAREZ MEDINA S/N, COLONIA LOS REYES IXTACALA 1RA SECCION, TLALNEPANTLA DE BAZ, ESTADO DE MEXICO, Y/O ALREDEDORES DE LA FACULTAD DE ESTUDIOS SUPERIORES IZTACALA, SE ENCUENTRAN COLOCADAS CÁMARAS DE SEGURIDAD DE VIDEOVIGILANCIA. DE SER AFIRMATIVO INDICAR CON PRECISION EL LUGAR DONDE SE ENCUENTRAN UBICADAS LAS CAMARAS DE VIGILANCIA (C2, C4 y/o C5)</w:t>
      </w:r>
      <w:r w:rsidRPr="007A377B">
        <w:rPr>
          <w:rFonts w:ascii="Gotham" w:hAnsi="Gotham"/>
          <w:b/>
          <w:i/>
          <w:iCs/>
        </w:rPr>
        <w:t>”</w:t>
      </w:r>
      <w:r w:rsidRPr="007A377B">
        <w:rPr>
          <w:rFonts w:ascii="Gotham" w:hAnsi="Gotham"/>
          <w:bCs/>
          <w:i/>
          <w:iCs/>
        </w:rPr>
        <w:t xml:space="preserve"> </w:t>
      </w:r>
      <w:r w:rsidRPr="007A377B">
        <w:rPr>
          <w:rFonts w:ascii="Gotham" w:hAnsi="Gotham"/>
          <w:b/>
          <w:bCs/>
          <w:i/>
          <w:iCs/>
        </w:rPr>
        <w:t>(sic).</w:t>
      </w:r>
    </w:p>
    <w:p w14:paraId="59E3D188" w14:textId="77777777" w:rsidR="001F05CA" w:rsidRPr="007A377B" w:rsidRDefault="001F05CA" w:rsidP="00BE5999">
      <w:pPr>
        <w:spacing w:after="0" w:line="240" w:lineRule="atLeast"/>
        <w:ind w:left="-142" w:right="-232"/>
        <w:jc w:val="both"/>
        <w:rPr>
          <w:rFonts w:ascii="Gotham" w:hAnsi="Gotham" w:cs="Arial"/>
          <w:i/>
          <w:iCs/>
        </w:rPr>
      </w:pPr>
    </w:p>
    <w:p w14:paraId="13EA3AFB" w14:textId="77777777" w:rsidR="001F05CA" w:rsidRPr="007A377B" w:rsidRDefault="001F05CA" w:rsidP="00BE5999">
      <w:pPr>
        <w:spacing w:after="0" w:line="240" w:lineRule="atLeast"/>
        <w:ind w:left="-142" w:right="-232"/>
        <w:jc w:val="both"/>
        <w:rPr>
          <w:rFonts w:ascii="Gotham" w:hAnsi="Gotham"/>
          <w:b/>
        </w:rPr>
      </w:pPr>
      <w:r w:rsidRPr="007A377B">
        <w:rPr>
          <w:rFonts w:ascii="Gotham" w:hAnsi="Gotham"/>
          <w:b/>
        </w:rPr>
        <w:t>Competencia:</w:t>
      </w:r>
    </w:p>
    <w:p w14:paraId="1BE56A3B" w14:textId="77777777" w:rsidR="001F05CA" w:rsidRPr="007A377B" w:rsidRDefault="001F05CA" w:rsidP="00BE5999">
      <w:pPr>
        <w:spacing w:after="0" w:line="240" w:lineRule="atLeast"/>
        <w:ind w:left="-142" w:right="-232"/>
        <w:jc w:val="both"/>
        <w:rPr>
          <w:rFonts w:ascii="Gotham" w:hAnsi="Gotham"/>
          <w:bCs/>
        </w:rPr>
      </w:pPr>
    </w:p>
    <w:p w14:paraId="4B291201" w14:textId="77777777" w:rsidR="001F05CA" w:rsidRPr="007A377B" w:rsidRDefault="001F05CA" w:rsidP="00BE5999">
      <w:pPr>
        <w:spacing w:after="0" w:line="240" w:lineRule="atLeast"/>
        <w:ind w:left="-142" w:right="-232"/>
        <w:jc w:val="both"/>
        <w:rPr>
          <w:rFonts w:ascii="Gotham" w:hAnsi="Gotham"/>
          <w:bCs/>
        </w:rPr>
      </w:pPr>
      <w:r w:rsidRPr="007A377B">
        <w:rPr>
          <w:rFonts w:ascii="Gotham" w:hAnsi="Gotham"/>
          <w:bCs/>
        </w:rPr>
        <w:t xml:space="preserve">Al respecto, con fundamento en los artículos 1, 4, 53 fracción II y 167 de la Ley de Transparencia y Acceso a la Información Pública del Estado de México y Municipios; 61 de la Ley de Seguridad del Estado de México; 9 y 10 del Reglamento Interior del Secretariado Ejecutivo del Sistema Estatal de Seguridad Pública, me permito informar a Usted, que este Sujeto Obligado es </w:t>
      </w:r>
      <w:r w:rsidRPr="007A377B">
        <w:rPr>
          <w:rFonts w:ascii="Gotham" w:hAnsi="Gotham"/>
          <w:b/>
        </w:rPr>
        <w:t>incompetente</w:t>
      </w:r>
      <w:r w:rsidRPr="007A377B">
        <w:rPr>
          <w:rFonts w:ascii="Gotham" w:hAnsi="Gotham"/>
          <w:bCs/>
        </w:rPr>
        <w:t xml:space="preserve"> para dar respuesta a su solicitud, como se expondrá de manera fundada.</w:t>
      </w:r>
    </w:p>
    <w:p w14:paraId="01A48F87" w14:textId="77777777" w:rsidR="001F05CA" w:rsidRPr="007A377B" w:rsidRDefault="001F05CA" w:rsidP="00BE5999">
      <w:pPr>
        <w:spacing w:after="0" w:line="240" w:lineRule="atLeast"/>
        <w:ind w:left="-142" w:right="-232"/>
        <w:jc w:val="both"/>
        <w:rPr>
          <w:rFonts w:ascii="Gotham" w:hAnsi="Gotham"/>
          <w:bCs/>
        </w:rPr>
      </w:pPr>
    </w:p>
    <w:p w14:paraId="2122D562" w14:textId="77777777" w:rsidR="001F05CA" w:rsidRPr="007A377B" w:rsidRDefault="001F05CA" w:rsidP="00BE5999">
      <w:pPr>
        <w:spacing w:after="0" w:line="240" w:lineRule="atLeast"/>
        <w:ind w:left="-142" w:right="-232"/>
        <w:jc w:val="both"/>
        <w:rPr>
          <w:rFonts w:ascii="Gotham" w:hAnsi="Gotham"/>
          <w:b/>
          <w:bCs/>
        </w:rPr>
      </w:pPr>
      <w:r w:rsidRPr="007A377B">
        <w:rPr>
          <w:rFonts w:ascii="Gotham" w:hAnsi="Gotham"/>
          <w:b/>
          <w:bCs/>
        </w:rPr>
        <w:t>Fundamentación y Motivación:</w:t>
      </w:r>
    </w:p>
    <w:p w14:paraId="5060D1F1" w14:textId="77777777" w:rsidR="001F05CA" w:rsidRPr="007A377B" w:rsidRDefault="001F05CA" w:rsidP="00BE5999">
      <w:pPr>
        <w:spacing w:after="0" w:line="240" w:lineRule="atLeast"/>
        <w:ind w:left="-142" w:right="-232"/>
        <w:jc w:val="both"/>
        <w:rPr>
          <w:rFonts w:ascii="Gotham" w:hAnsi="Gotham"/>
          <w:b/>
          <w:bCs/>
        </w:rPr>
      </w:pPr>
    </w:p>
    <w:p w14:paraId="2D62D884" w14:textId="77777777" w:rsidR="001F05CA" w:rsidRPr="007A377B" w:rsidRDefault="001F05CA" w:rsidP="00BE5999">
      <w:pPr>
        <w:spacing w:after="0" w:line="240" w:lineRule="atLeast"/>
        <w:ind w:left="-142" w:right="-232"/>
        <w:jc w:val="both"/>
        <w:rPr>
          <w:rFonts w:ascii="Gotham" w:hAnsi="Gotham"/>
          <w:b/>
          <w:bCs/>
          <w:i/>
          <w:iCs/>
        </w:rPr>
      </w:pPr>
      <w:r w:rsidRPr="007A377B">
        <w:rPr>
          <w:rFonts w:ascii="Gotham" w:hAnsi="Gotham"/>
          <w:b/>
          <w:bCs/>
          <w:i/>
          <w:iCs/>
        </w:rPr>
        <w:t>“Artículo 167</w:t>
      </w:r>
      <w:r w:rsidRPr="007A377B">
        <w:rPr>
          <w:rFonts w:ascii="Gotham" w:hAnsi="Gotham"/>
          <w:i/>
          <w:iCs/>
        </w:rPr>
        <w:t xml:space="preserve">. Cuando las unidades de transparencia determinen la notoria incompetencia por parte de los sujetos obligados, dentro del ámbito de aplicación, para atender la solicitud de acceso a la información, </w:t>
      </w:r>
      <w:r w:rsidRPr="007A377B">
        <w:rPr>
          <w:rFonts w:ascii="Gotham" w:hAnsi="Gotham"/>
          <w:b/>
          <w:bCs/>
          <w:i/>
          <w:iCs/>
        </w:rPr>
        <w:t xml:space="preserve">deberán comunicarlo al solicitante, dentro de los tres días hábiles posteriores a la recepción de la solicitud </w:t>
      </w:r>
      <w:r w:rsidRPr="007A377B">
        <w:rPr>
          <w:rFonts w:ascii="Gotham" w:hAnsi="Gotham"/>
          <w:i/>
          <w:iCs/>
        </w:rPr>
        <w:t>y, en su caso orientar al solicitante, el o los sujetos obligados competentes.”</w:t>
      </w:r>
      <w:r w:rsidRPr="007A377B">
        <w:rPr>
          <w:rFonts w:ascii="Gotham" w:hAnsi="Gotham"/>
          <w:b/>
          <w:i/>
        </w:rPr>
        <w:t xml:space="preserve"> (énfasis añadido)</w:t>
      </w:r>
    </w:p>
    <w:p w14:paraId="44190689" w14:textId="77777777" w:rsidR="001F05CA" w:rsidRPr="007A377B" w:rsidRDefault="001F05CA" w:rsidP="00BE5999">
      <w:pPr>
        <w:spacing w:after="0" w:line="240" w:lineRule="atLeast"/>
        <w:ind w:left="-142" w:right="-232"/>
        <w:jc w:val="both"/>
        <w:rPr>
          <w:rFonts w:ascii="Gotham" w:hAnsi="Gotham"/>
        </w:rPr>
      </w:pPr>
    </w:p>
    <w:p w14:paraId="0F1C93A8" w14:textId="77777777" w:rsidR="001F05CA" w:rsidRPr="007A377B" w:rsidRDefault="001F05CA" w:rsidP="00BE5999">
      <w:pPr>
        <w:spacing w:after="0" w:line="240" w:lineRule="atLeast"/>
        <w:ind w:left="-142" w:right="-232"/>
        <w:jc w:val="both"/>
        <w:rPr>
          <w:rFonts w:ascii="Gotham" w:hAnsi="Gotham"/>
        </w:rPr>
      </w:pPr>
      <w:r w:rsidRPr="007A377B">
        <w:rPr>
          <w:rFonts w:ascii="Gotham" w:hAnsi="Gotham"/>
        </w:rPr>
        <w:t>También el criterio número 13/17 del Instituto Nacional de Transparencia y Acceso a la Información y Protección de Datos Personales (INAI), permite ampliar la interpretación de esta disposición de la materia:</w:t>
      </w:r>
    </w:p>
    <w:p w14:paraId="3D85D074" w14:textId="77777777" w:rsidR="001F05CA" w:rsidRPr="007A377B" w:rsidRDefault="001F05CA" w:rsidP="00BE5999">
      <w:pPr>
        <w:spacing w:after="0" w:line="240" w:lineRule="atLeast"/>
        <w:ind w:left="-142" w:right="-232"/>
        <w:jc w:val="both"/>
        <w:rPr>
          <w:rFonts w:ascii="Gotham" w:hAnsi="Gotham"/>
          <w:b/>
          <w:bCs/>
          <w:i/>
          <w:iCs/>
        </w:rPr>
      </w:pPr>
      <w:r w:rsidRPr="007A377B">
        <w:rPr>
          <w:rFonts w:ascii="Gotham" w:hAnsi="Gotham"/>
          <w:b/>
          <w:bCs/>
          <w:i/>
          <w:iCs/>
        </w:rPr>
        <w:lastRenderedPageBreak/>
        <w:t xml:space="preserve">“Incompetencia. </w:t>
      </w:r>
      <w:r w:rsidRPr="007A377B">
        <w:rPr>
          <w:rFonts w:ascii="Gotham" w:hAnsi="Gotham"/>
          <w:i/>
          <w:iCs/>
        </w:rPr>
        <w:t xml:space="preserve">La incompetencia implica la ausencia de atribuciones del sujeto obligado para poseer la información solicitada; es decir, se trata de una cuestión de derecho, en tanto que </w:t>
      </w:r>
      <w:r w:rsidRPr="007A377B">
        <w:rPr>
          <w:rFonts w:ascii="Gotham" w:hAnsi="Gotham"/>
          <w:b/>
          <w:bCs/>
          <w:i/>
          <w:iCs/>
        </w:rPr>
        <w:t>no existan facultades para contar con lo requerido</w:t>
      </w:r>
      <w:r w:rsidRPr="007A377B">
        <w:rPr>
          <w:rFonts w:ascii="Gotham" w:hAnsi="Gotham"/>
          <w:i/>
          <w:iCs/>
        </w:rPr>
        <w:t>; por lo que la incompetencia es una cualidad atribuida al sujeto obligado que la declara.</w:t>
      </w:r>
      <w:r w:rsidRPr="007A377B">
        <w:rPr>
          <w:rFonts w:ascii="Gotham" w:hAnsi="Gotham"/>
          <w:b/>
          <w:bCs/>
          <w:i/>
          <w:iCs/>
        </w:rPr>
        <w:t xml:space="preserve"> </w:t>
      </w:r>
    </w:p>
    <w:p w14:paraId="519AD498" w14:textId="77777777" w:rsidR="001F05CA" w:rsidRPr="007A377B" w:rsidRDefault="001F05CA" w:rsidP="00BE5999">
      <w:pPr>
        <w:spacing w:after="0" w:line="240" w:lineRule="atLeast"/>
        <w:ind w:left="-142" w:right="-232"/>
        <w:jc w:val="both"/>
        <w:rPr>
          <w:rFonts w:ascii="Gotham" w:hAnsi="Gotham"/>
          <w:b/>
          <w:bCs/>
          <w:i/>
          <w:iCs/>
        </w:rPr>
      </w:pPr>
    </w:p>
    <w:p w14:paraId="3BDABEFC" w14:textId="77777777" w:rsidR="001F05CA" w:rsidRPr="007A377B" w:rsidRDefault="001F05CA" w:rsidP="00BE5999">
      <w:pPr>
        <w:spacing w:after="0" w:line="240" w:lineRule="atLeast"/>
        <w:ind w:left="-142" w:right="-232"/>
        <w:jc w:val="both"/>
        <w:rPr>
          <w:rFonts w:ascii="Gotham" w:hAnsi="Gotham"/>
          <w:b/>
          <w:bCs/>
          <w:i/>
          <w:iCs/>
        </w:rPr>
      </w:pPr>
      <w:r w:rsidRPr="007A377B">
        <w:rPr>
          <w:rFonts w:ascii="Gotham" w:hAnsi="Gotham"/>
          <w:b/>
          <w:bCs/>
          <w:i/>
          <w:iCs/>
        </w:rPr>
        <w:t xml:space="preserve">Resoluciones: </w:t>
      </w:r>
    </w:p>
    <w:p w14:paraId="51DD9560" w14:textId="77777777" w:rsidR="001F05CA" w:rsidRPr="007A377B" w:rsidRDefault="001F05CA" w:rsidP="00BE5999">
      <w:pPr>
        <w:spacing w:after="0" w:line="240" w:lineRule="atLeast"/>
        <w:ind w:left="-142" w:right="-232"/>
        <w:jc w:val="both"/>
        <w:rPr>
          <w:rFonts w:ascii="Gotham" w:hAnsi="Gotham"/>
          <w:b/>
          <w:bCs/>
          <w:i/>
          <w:iCs/>
        </w:rPr>
      </w:pPr>
    </w:p>
    <w:p w14:paraId="3CB856D2" w14:textId="77777777" w:rsidR="001F05CA" w:rsidRPr="007A377B" w:rsidRDefault="001F05CA" w:rsidP="00BE5999">
      <w:pPr>
        <w:spacing w:after="0" w:line="240" w:lineRule="atLeast"/>
        <w:ind w:left="-142" w:right="-232"/>
        <w:jc w:val="both"/>
        <w:rPr>
          <w:rFonts w:ascii="Gotham" w:hAnsi="Gotham"/>
          <w:i/>
          <w:iCs/>
        </w:rPr>
      </w:pPr>
      <w:r w:rsidRPr="007A377B">
        <w:rPr>
          <w:rFonts w:ascii="Gotham" w:hAnsi="Gotham"/>
          <w:b/>
          <w:bCs/>
          <w:i/>
          <w:iCs/>
        </w:rPr>
        <w:t>• RRA 4437/16.</w:t>
      </w:r>
      <w:r w:rsidRPr="007A377B">
        <w:rPr>
          <w:rFonts w:ascii="Gotham" w:hAnsi="Gotham"/>
          <w:i/>
          <w:iCs/>
        </w:rPr>
        <w:t xml:space="preserve"> Secretaría de Hacienda y Crédito Público. 25 de enero de 2017. Por unanimidad. Comisionada Ponente Ximena Puente de la Mora.</w:t>
      </w:r>
    </w:p>
    <w:p w14:paraId="06E7930E" w14:textId="77777777" w:rsidR="001F05CA" w:rsidRPr="007A377B" w:rsidRDefault="001F05CA" w:rsidP="00BE5999">
      <w:pPr>
        <w:spacing w:after="0" w:line="240" w:lineRule="atLeast"/>
        <w:ind w:left="-142" w:right="-232"/>
        <w:jc w:val="both"/>
        <w:rPr>
          <w:rFonts w:ascii="Gotham" w:hAnsi="Gotham"/>
          <w:i/>
          <w:iCs/>
        </w:rPr>
      </w:pPr>
      <w:r w:rsidRPr="007A377B">
        <w:rPr>
          <w:rFonts w:ascii="Gotham" w:hAnsi="Gotham"/>
          <w:b/>
          <w:bCs/>
          <w:i/>
          <w:iCs/>
        </w:rPr>
        <w:t>• RRA 4401/16</w:t>
      </w:r>
      <w:r w:rsidRPr="007A377B">
        <w:rPr>
          <w:rFonts w:ascii="Gotham" w:hAnsi="Gotham"/>
          <w:i/>
          <w:iCs/>
        </w:rPr>
        <w:t xml:space="preserve">. Secretaría de Medio Ambiente y Recursos Naturales. 01 de febrero de 2017. Por unanimidad. Comisionado Ponente </w:t>
      </w:r>
      <w:proofErr w:type="spellStart"/>
      <w:r w:rsidRPr="007A377B">
        <w:rPr>
          <w:rFonts w:ascii="Gotham" w:hAnsi="Gotham"/>
          <w:i/>
          <w:iCs/>
        </w:rPr>
        <w:t>Rosendoevgueni</w:t>
      </w:r>
      <w:proofErr w:type="spellEnd"/>
      <w:r w:rsidRPr="007A377B">
        <w:rPr>
          <w:rFonts w:ascii="Gotham" w:hAnsi="Gotham"/>
          <w:i/>
          <w:iCs/>
        </w:rPr>
        <w:t xml:space="preserve"> Monterrey </w:t>
      </w:r>
      <w:proofErr w:type="spellStart"/>
      <w:r w:rsidRPr="007A377B">
        <w:rPr>
          <w:rFonts w:ascii="Gotham" w:hAnsi="Gotham"/>
          <w:i/>
          <w:iCs/>
        </w:rPr>
        <w:t>Chepov</w:t>
      </w:r>
      <w:proofErr w:type="spellEnd"/>
      <w:r w:rsidRPr="007A377B">
        <w:rPr>
          <w:rFonts w:ascii="Gotham" w:hAnsi="Gotham"/>
          <w:i/>
          <w:iCs/>
        </w:rPr>
        <w:t xml:space="preserve">. </w:t>
      </w:r>
    </w:p>
    <w:p w14:paraId="7D012E9D" w14:textId="77777777" w:rsidR="001F05CA" w:rsidRPr="007A377B" w:rsidRDefault="001F05CA" w:rsidP="00BE5999">
      <w:pPr>
        <w:spacing w:after="0" w:line="240" w:lineRule="atLeast"/>
        <w:ind w:left="-142" w:right="-232"/>
        <w:jc w:val="both"/>
        <w:rPr>
          <w:rFonts w:ascii="Gotham" w:hAnsi="Gotham"/>
          <w:i/>
          <w:iCs/>
        </w:rPr>
      </w:pPr>
      <w:r w:rsidRPr="007A377B">
        <w:rPr>
          <w:rFonts w:ascii="Gotham" w:hAnsi="Gotham"/>
          <w:b/>
          <w:bCs/>
          <w:i/>
          <w:iCs/>
        </w:rPr>
        <w:t>• RRA 0539/17.</w:t>
      </w:r>
      <w:r w:rsidRPr="007A377B">
        <w:rPr>
          <w:rFonts w:ascii="Gotham" w:hAnsi="Gotham"/>
          <w:i/>
          <w:iCs/>
        </w:rPr>
        <w:t xml:space="preserve"> Secretaría de Economía. 01 de marzo de 2017. Por unanimidad. Comisionado Ponente Joel Salas Suárez.” </w:t>
      </w:r>
      <w:r w:rsidRPr="007A377B">
        <w:rPr>
          <w:rFonts w:ascii="Gotham" w:hAnsi="Gotham"/>
          <w:b/>
          <w:i/>
        </w:rPr>
        <w:t>(énfasis añadido)</w:t>
      </w:r>
    </w:p>
    <w:p w14:paraId="31663585" w14:textId="77777777" w:rsidR="001F05CA" w:rsidRPr="007A377B" w:rsidRDefault="001F05CA" w:rsidP="00BE5999">
      <w:pPr>
        <w:spacing w:after="0" w:line="240" w:lineRule="atLeast"/>
        <w:ind w:left="-142" w:right="-232"/>
        <w:jc w:val="both"/>
        <w:rPr>
          <w:rFonts w:ascii="Gotham" w:hAnsi="Gotham"/>
          <w:i/>
          <w:iCs/>
        </w:rPr>
      </w:pPr>
    </w:p>
    <w:p w14:paraId="39200C27" w14:textId="77777777" w:rsidR="001F05CA" w:rsidRPr="007A377B" w:rsidRDefault="001F05CA" w:rsidP="00BE5999">
      <w:pPr>
        <w:spacing w:after="0" w:line="240" w:lineRule="atLeast"/>
        <w:ind w:left="-142" w:right="-232"/>
        <w:jc w:val="both"/>
        <w:rPr>
          <w:rFonts w:ascii="Gotham" w:hAnsi="Gotham"/>
        </w:rPr>
      </w:pPr>
      <w:r w:rsidRPr="007A377B">
        <w:rPr>
          <w:rFonts w:ascii="Gotham" w:hAnsi="Gotham"/>
        </w:rPr>
        <w:t>Así como el artículo 143 de la Constitución Política del Estado Libre y Soberano de México, que a la letra señala:</w:t>
      </w:r>
    </w:p>
    <w:p w14:paraId="1D7F1008" w14:textId="77777777" w:rsidR="001F05CA" w:rsidRPr="007A377B" w:rsidRDefault="001F05CA" w:rsidP="00BE5999">
      <w:pPr>
        <w:spacing w:after="0" w:line="240" w:lineRule="atLeast"/>
        <w:ind w:left="-142" w:right="-232"/>
        <w:jc w:val="both"/>
        <w:rPr>
          <w:rFonts w:ascii="Gotham" w:hAnsi="Gotham"/>
        </w:rPr>
      </w:pPr>
    </w:p>
    <w:p w14:paraId="2E96D0E8" w14:textId="77777777" w:rsidR="001F05CA" w:rsidRPr="007A377B" w:rsidRDefault="001F05CA" w:rsidP="00BE5999">
      <w:pPr>
        <w:spacing w:after="0" w:line="240" w:lineRule="atLeast"/>
        <w:ind w:left="-142" w:right="-232"/>
        <w:jc w:val="both"/>
        <w:rPr>
          <w:rFonts w:ascii="Gotham" w:hAnsi="Gotham"/>
          <w:b/>
          <w:bCs/>
          <w:i/>
          <w:iCs/>
        </w:rPr>
      </w:pPr>
      <w:r w:rsidRPr="007A377B">
        <w:rPr>
          <w:rFonts w:ascii="Gotham" w:hAnsi="Gotham"/>
          <w:b/>
          <w:bCs/>
          <w:i/>
          <w:iCs/>
        </w:rPr>
        <w:t>“Artículo 143.-</w:t>
      </w:r>
      <w:r w:rsidRPr="007A377B">
        <w:rPr>
          <w:rFonts w:ascii="Gotham" w:hAnsi="Gotham"/>
          <w:i/>
          <w:iCs/>
        </w:rPr>
        <w:t xml:space="preserve"> </w:t>
      </w:r>
      <w:r w:rsidRPr="007A377B">
        <w:rPr>
          <w:rFonts w:ascii="Gotham" w:hAnsi="Gotham"/>
          <w:b/>
          <w:bCs/>
          <w:i/>
          <w:iCs/>
        </w:rPr>
        <w:t>Las autoridades del Estado sólo tienen las facultades que expresamente les confieren las leyes y otros ordenamientos jurídicos.”</w:t>
      </w:r>
      <w:r w:rsidRPr="007A377B">
        <w:rPr>
          <w:rFonts w:ascii="Gotham" w:hAnsi="Gotham"/>
          <w:b/>
          <w:i/>
        </w:rPr>
        <w:t xml:space="preserve"> (énfasis añadido)</w:t>
      </w:r>
    </w:p>
    <w:p w14:paraId="6AD9317D" w14:textId="77777777" w:rsidR="001F05CA" w:rsidRPr="007A377B" w:rsidRDefault="001F05CA" w:rsidP="00BE5999">
      <w:pPr>
        <w:spacing w:after="0" w:line="240" w:lineRule="atLeast"/>
        <w:ind w:left="-142" w:right="-232"/>
        <w:jc w:val="both"/>
        <w:rPr>
          <w:rFonts w:ascii="Gotham" w:hAnsi="Gotham"/>
          <w:i/>
          <w:iCs/>
        </w:rPr>
      </w:pPr>
    </w:p>
    <w:p w14:paraId="294C871E" w14:textId="4BD46A71" w:rsidR="001F05CA" w:rsidRPr="007A377B" w:rsidRDefault="001F05CA" w:rsidP="00BE5999">
      <w:pPr>
        <w:spacing w:after="0" w:line="240" w:lineRule="atLeast"/>
        <w:ind w:left="-142" w:right="-232"/>
        <w:jc w:val="both"/>
        <w:rPr>
          <w:rFonts w:ascii="Gotham" w:hAnsi="Gotham"/>
          <w:bCs/>
        </w:rPr>
      </w:pPr>
      <w:r w:rsidRPr="007A377B">
        <w:rPr>
          <w:rFonts w:ascii="Gotham" w:hAnsi="Gotham"/>
          <w:bCs/>
        </w:rPr>
        <w:t>Una vez analizada su Solicitud de Información, y derivado del oficio 206B0111000100L/SIISP/0</w:t>
      </w:r>
      <w:r w:rsidR="001B2EA8" w:rsidRPr="007A377B">
        <w:rPr>
          <w:rFonts w:ascii="Gotham" w:hAnsi="Gotham"/>
          <w:bCs/>
        </w:rPr>
        <w:t>83</w:t>
      </w:r>
      <w:r w:rsidRPr="007A377B">
        <w:rPr>
          <w:rFonts w:ascii="Gotham" w:hAnsi="Gotham"/>
          <w:bCs/>
        </w:rPr>
        <w:t xml:space="preserve">/2024, signado por la Subdirectora de Información de las Instituciones de Seguridad Pública de la Dirección General del Centro de Información y Estadística, y Servidora Pública Habilitada; en el que informó que, con fundamento en los artículos 59, 61 y 63 de la Ley de Seguridad del Estado de México; 9 y 10 del Reglamento Interior del Secretariado Ejecutivo del Sistema Estatal de Seguridad Pública; y, al Manual General de Organización del Secretariado Ejecutivo del Sistema Estatal de Seguridad Pública, los cuales disponen las atribuciones y funciones de la Dirección General del Centro de Información y Estadística del Secretariado Ejecutivo del Sistema Estatal de Seguridad Pública; este Sujeto Obligado es </w:t>
      </w:r>
      <w:r w:rsidRPr="007A377B">
        <w:rPr>
          <w:rFonts w:ascii="Gotham" w:hAnsi="Gotham"/>
          <w:b/>
          <w:bCs/>
        </w:rPr>
        <w:t>incompetente</w:t>
      </w:r>
      <w:r w:rsidRPr="007A377B">
        <w:rPr>
          <w:rFonts w:ascii="Gotham" w:hAnsi="Gotham"/>
          <w:bCs/>
        </w:rPr>
        <w:t xml:space="preserve"> para atender su solicitud de información.</w:t>
      </w:r>
    </w:p>
    <w:p w14:paraId="77E8435E" w14:textId="77777777" w:rsidR="001F05CA" w:rsidRPr="007A377B" w:rsidRDefault="001F05CA" w:rsidP="00BE5999">
      <w:pPr>
        <w:spacing w:after="0" w:line="240" w:lineRule="atLeast"/>
        <w:ind w:left="-142" w:right="-232"/>
        <w:jc w:val="both"/>
        <w:rPr>
          <w:rFonts w:ascii="Gotham" w:hAnsi="Gotham"/>
          <w:bCs/>
        </w:rPr>
      </w:pPr>
    </w:p>
    <w:p w14:paraId="246D5334" w14:textId="4131533C" w:rsidR="001F05CA" w:rsidRDefault="001F05CA" w:rsidP="00BE5999">
      <w:pPr>
        <w:spacing w:after="0" w:line="240" w:lineRule="atLeast"/>
        <w:ind w:left="-142" w:right="-232"/>
        <w:jc w:val="both"/>
        <w:rPr>
          <w:rFonts w:ascii="Gotham" w:hAnsi="Gotham"/>
          <w:bCs/>
        </w:rPr>
      </w:pPr>
      <w:r w:rsidRPr="007A377B">
        <w:rPr>
          <w:rFonts w:ascii="Gotham" w:hAnsi="Gotham"/>
          <w:bCs/>
        </w:rPr>
        <w:t>Derivado de lo anterior, se cita el fundamento de la</w:t>
      </w:r>
      <w:r w:rsidR="001B2EA8" w:rsidRPr="007A377B">
        <w:rPr>
          <w:rFonts w:ascii="Gotham" w:hAnsi="Gotham"/>
          <w:bCs/>
        </w:rPr>
        <w:t>s</w:t>
      </w:r>
      <w:r w:rsidRPr="007A377B">
        <w:rPr>
          <w:rFonts w:ascii="Gotham" w:hAnsi="Gotham"/>
          <w:bCs/>
        </w:rPr>
        <w:t xml:space="preserve"> Instancia</w:t>
      </w:r>
      <w:r w:rsidR="001B2EA8" w:rsidRPr="007A377B">
        <w:rPr>
          <w:rFonts w:ascii="Gotham" w:hAnsi="Gotham"/>
          <w:bCs/>
        </w:rPr>
        <w:t>s</w:t>
      </w:r>
      <w:r w:rsidRPr="007A377B">
        <w:rPr>
          <w:rFonts w:ascii="Gotham" w:hAnsi="Gotham"/>
          <w:bCs/>
        </w:rPr>
        <w:t xml:space="preserve"> </w:t>
      </w:r>
      <w:r w:rsidR="001B2EA8" w:rsidRPr="007A377B">
        <w:rPr>
          <w:rFonts w:ascii="Gotham" w:hAnsi="Gotham"/>
          <w:bCs/>
        </w:rPr>
        <w:t>qu</w:t>
      </w:r>
      <w:r w:rsidRPr="007A377B">
        <w:rPr>
          <w:rFonts w:ascii="Gotham" w:hAnsi="Gotham"/>
          <w:bCs/>
        </w:rPr>
        <w:t>e pudiera proporcionarle más información:</w:t>
      </w:r>
    </w:p>
    <w:p w14:paraId="0D401DD5" w14:textId="77777777" w:rsidR="001E0307" w:rsidRPr="007A377B" w:rsidRDefault="001E0307" w:rsidP="00BE5999">
      <w:pPr>
        <w:spacing w:after="0" w:line="240" w:lineRule="atLeast"/>
        <w:ind w:left="-142" w:right="-232"/>
        <w:jc w:val="both"/>
        <w:rPr>
          <w:rFonts w:ascii="Gotham" w:hAnsi="Gotham"/>
          <w:bCs/>
        </w:rPr>
      </w:pPr>
    </w:p>
    <w:p w14:paraId="3BA83E70" w14:textId="77777777" w:rsidR="001F05CA" w:rsidRPr="007A377B" w:rsidRDefault="001F05CA" w:rsidP="00BE5999">
      <w:pPr>
        <w:spacing w:after="0" w:line="240" w:lineRule="atLeast"/>
        <w:ind w:left="-142" w:right="-232"/>
        <w:jc w:val="center"/>
        <w:rPr>
          <w:rFonts w:ascii="Gotham" w:hAnsi="Gotham"/>
          <w:b/>
          <w:i/>
          <w:iCs/>
        </w:rPr>
      </w:pPr>
      <w:r w:rsidRPr="007A377B">
        <w:rPr>
          <w:rFonts w:ascii="Gotham" w:hAnsi="Gotham"/>
          <w:b/>
          <w:i/>
          <w:iCs/>
        </w:rPr>
        <w:t>Reglamento Interior de la Secretaría de Seguridad</w:t>
      </w:r>
    </w:p>
    <w:p w14:paraId="40702B60" w14:textId="77777777" w:rsidR="001F05CA" w:rsidRPr="007A377B" w:rsidRDefault="001F05CA" w:rsidP="00BE5999">
      <w:pPr>
        <w:spacing w:after="0" w:line="240" w:lineRule="atLeast"/>
        <w:ind w:left="-142" w:right="-232"/>
        <w:jc w:val="both"/>
        <w:rPr>
          <w:rFonts w:ascii="Gotham" w:hAnsi="Gotham"/>
          <w:b/>
          <w:i/>
          <w:iCs/>
        </w:rPr>
      </w:pPr>
    </w:p>
    <w:p w14:paraId="2A3CCFCD" w14:textId="77777777" w:rsidR="001F05CA" w:rsidRPr="007A377B" w:rsidRDefault="001F05CA" w:rsidP="00BE5999">
      <w:pPr>
        <w:spacing w:after="0" w:line="240" w:lineRule="atLeast"/>
        <w:ind w:left="-142" w:right="-232"/>
        <w:jc w:val="both"/>
        <w:rPr>
          <w:rFonts w:ascii="Gotham" w:hAnsi="Gotham"/>
          <w:bCs/>
          <w:i/>
          <w:iCs/>
        </w:rPr>
      </w:pPr>
      <w:r w:rsidRPr="007A377B">
        <w:rPr>
          <w:rFonts w:ascii="Gotham" w:hAnsi="Gotham"/>
          <w:b/>
          <w:i/>
          <w:iCs/>
        </w:rPr>
        <w:t xml:space="preserve">“Artículo 1. </w:t>
      </w:r>
      <w:r w:rsidRPr="007A377B">
        <w:rPr>
          <w:rFonts w:ascii="Gotham" w:hAnsi="Gotham"/>
          <w:bCs/>
          <w:i/>
          <w:iCs/>
        </w:rPr>
        <w:t xml:space="preserve">El presente Reglamento Interior es de orden público, interés social y observancia general y tiene por objeto </w:t>
      </w:r>
      <w:r w:rsidRPr="007A377B">
        <w:rPr>
          <w:rFonts w:ascii="Gotham" w:hAnsi="Gotham"/>
          <w:b/>
          <w:i/>
          <w:iCs/>
        </w:rPr>
        <w:t>regular la organización, atribuciones, funcionamiento</w:t>
      </w:r>
      <w:r w:rsidRPr="007A377B">
        <w:rPr>
          <w:rFonts w:ascii="Gotham" w:hAnsi="Gotham"/>
          <w:bCs/>
          <w:i/>
          <w:iCs/>
        </w:rPr>
        <w:t xml:space="preserve"> y las relaciones jerárquicas de cada una de las unidades administrativas </w:t>
      </w:r>
      <w:r w:rsidRPr="007A377B">
        <w:rPr>
          <w:rFonts w:ascii="Gotham" w:hAnsi="Gotham"/>
          <w:b/>
          <w:i/>
          <w:iCs/>
        </w:rPr>
        <w:t>de la Secretaría de Seguridad</w:t>
      </w:r>
      <w:r w:rsidRPr="007A377B">
        <w:rPr>
          <w:rFonts w:ascii="Gotham" w:hAnsi="Gotham"/>
          <w:bCs/>
          <w:i/>
          <w:iCs/>
        </w:rPr>
        <w:t>.”</w:t>
      </w:r>
      <w:r w:rsidRPr="007A377B">
        <w:rPr>
          <w:rFonts w:ascii="Gotham" w:hAnsi="Gotham"/>
          <w:b/>
          <w:i/>
          <w:iCs/>
        </w:rPr>
        <w:t xml:space="preserve"> (énfasis añadido)</w:t>
      </w:r>
    </w:p>
    <w:p w14:paraId="79FCC1B6" w14:textId="77777777" w:rsidR="001F05CA" w:rsidRPr="007A377B" w:rsidRDefault="001F05CA" w:rsidP="00BE5999">
      <w:pPr>
        <w:spacing w:after="0" w:line="240" w:lineRule="atLeast"/>
        <w:ind w:left="-142" w:right="-232"/>
        <w:jc w:val="both"/>
        <w:rPr>
          <w:rFonts w:ascii="Gotham" w:hAnsi="Gotham"/>
          <w:bCs/>
          <w:i/>
          <w:iCs/>
        </w:rPr>
      </w:pPr>
    </w:p>
    <w:p w14:paraId="70A065F0" w14:textId="77777777" w:rsidR="001F05CA" w:rsidRPr="007A377B" w:rsidRDefault="001F05CA" w:rsidP="00BE5999">
      <w:pPr>
        <w:spacing w:after="0" w:line="240" w:lineRule="atLeast"/>
        <w:ind w:left="-142" w:right="-232"/>
        <w:jc w:val="both"/>
        <w:rPr>
          <w:rFonts w:ascii="Gotham" w:hAnsi="Gotham"/>
          <w:bCs/>
          <w:i/>
          <w:iCs/>
        </w:rPr>
      </w:pPr>
      <w:r w:rsidRPr="007A377B">
        <w:rPr>
          <w:rFonts w:ascii="Gotham" w:hAnsi="Gotham"/>
          <w:b/>
          <w:i/>
          <w:iCs/>
        </w:rPr>
        <w:t>“Artículo 3</w:t>
      </w:r>
      <w:r w:rsidRPr="007A377B">
        <w:rPr>
          <w:rFonts w:ascii="Gotham" w:hAnsi="Gotham"/>
          <w:bCs/>
          <w:i/>
          <w:iCs/>
        </w:rPr>
        <w:t xml:space="preserve">. La Secretaría es la dependencia del Poder Ejecutivo que tiene a su cargo el despacho de los asuntos que le encomiendan la Constitución Política de los Estados Unidos Mexicanos, la Ley General del Sistema Nacional de Seguridad Pública, la Constitución Política del Estado Libre y Soberano de México, la Ley Orgánica, la Ley, el Código Administrativo del Estado de México, así como, otras leyes, reglamentos, decretos, acuerdos y demás disposiciones jurídicas que le resulten </w:t>
      </w:r>
      <w:r w:rsidRPr="007A377B">
        <w:rPr>
          <w:rFonts w:ascii="Gotham" w:hAnsi="Gotham"/>
          <w:b/>
          <w:i/>
          <w:iCs/>
        </w:rPr>
        <w:t>aplicables en materia de seguridad pública</w:t>
      </w:r>
      <w:r w:rsidRPr="007A377B">
        <w:rPr>
          <w:rFonts w:ascii="Gotham" w:hAnsi="Gotham"/>
          <w:bCs/>
          <w:i/>
          <w:iCs/>
        </w:rPr>
        <w:t xml:space="preserve">. </w:t>
      </w:r>
    </w:p>
    <w:p w14:paraId="5473AE15" w14:textId="77777777" w:rsidR="001F05CA" w:rsidRPr="007A377B" w:rsidRDefault="001F05CA" w:rsidP="00BE5999">
      <w:pPr>
        <w:spacing w:after="0" w:line="240" w:lineRule="atLeast"/>
        <w:ind w:left="-142" w:right="-232"/>
        <w:jc w:val="both"/>
        <w:rPr>
          <w:rFonts w:ascii="Gotham" w:hAnsi="Gotham"/>
          <w:bCs/>
          <w:i/>
          <w:iCs/>
        </w:rPr>
      </w:pPr>
    </w:p>
    <w:p w14:paraId="74EA4C3E" w14:textId="77777777" w:rsidR="001F05CA" w:rsidRDefault="001F05CA" w:rsidP="00BE5999">
      <w:pPr>
        <w:spacing w:after="0" w:line="240" w:lineRule="atLeast"/>
        <w:ind w:left="-142" w:right="-232"/>
        <w:jc w:val="both"/>
        <w:rPr>
          <w:rFonts w:ascii="Gotham" w:hAnsi="Gotham"/>
          <w:b/>
          <w:i/>
          <w:iCs/>
        </w:rPr>
      </w:pPr>
      <w:r w:rsidRPr="007A377B">
        <w:rPr>
          <w:rFonts w:ascii="Gotham" w:hAnsi="Gotham"/>
          <w:bCs/>
          <w:i/>
          <w:iCs/>
        </w:rPr>
        <w:lastRenderedPageBreak/>
        <w:t>Asimismo, la Secretaría asumirá los compromisos y las obligaciones que establezcan los acuerdos, convenios o contratos que suscriba el Gobierno del Estado de México, con los gobiernos Federal, estatales y municipales en las materias que se encuentren en el ámbito de su competencia.”</w:t>
      </w:r>
      <w:r w:rsidRPr="007A377B">
        <w:rPr>
          <w:rFonts w:ascii="Gotham" w:hAnsi="Gotham"/>
          <w:b/>
          <w:i/>
          <w:iCs/>
        </w:rPr>
        <w:t xml:space="preserve"> (énfasis añadido)</w:t>
      </w:r>
    </w:p>
    <w:p w14:paraId="7AE9FEF7" w14:textId="77777777" w:rsidR="001E0307" w:rsidRPr="007A377B" w:rsidRDefault="001E0307" w:rsidP="00BE5999">
      <w:pPr>
        <w:spacing w:after="0" w:line="240" w:lineRule="atLeast"/>
        <w:ind w:left="-142" w:right="-232"/>
        <w:jc w:val="both"/>
        <w:rPr>
          <w:rFonts w:ascii="Gotham" w:hAnsi="Gotham"/>
          <w:bCs/>
          <w:i/>
          <w:iCs/>
        </w:rPr>
      </w:pPr>
    </w:p>
    <w:p w14:paraId="3B57DF01" w14:textId="77777777" w:rsidR="001F05CA" w:rsidRPr="007A377B" w:rsidRDefault="001F05CA" w:rsidP="00BE5999">
      <w:pPr>
        <w:spacing w:after="0" w:line="240" w:lineRule="atLeast"/>
        <w:ind w:left="-142" w:right="-232"/>
        <w:jc w:val="both"/>
        <w:rPr>
          <w:rFonts w:ascii="Gotham" w:hAnsi="Gotham"/>
          <w:bCs/>
          <w:i/>
          <w:iCs/>
        </w:rPr>
      </w:pPr>
      <w:r w:rsidRPr="007A377B">
        <w:rPr>
          <w:rFonts w:ascii="Gotham" w:hAnsi="Gotham"/>
          <w:b/>
          <w:i/>
          <w:iCs/>
        </w:rPr>
        <w:t>“Artículo 7</w:t>
      </w:r>
      <w:r w:rsidRPr="007A377B">
        <w:rPr>
          <w:rFonts w:ascii="Gotham" w:hAnsi="Gotham"/>
          <w:bCs/>
          <w:i/>
          <w:iCs/>
        </w:rPr>
        <w:t>. Para el estudio, planeación y despacho de los asuntos de su competencia, así como para atender las funciones de control y evaluación que le corresponden, la persona titular de la Secretaría se auxiliará de las unidades administrativas siguientes:</w:t>
      </w:r>
    </w:p>
    <w:p w14:paraId="35130454" w14:textId="77777777" w:rsidR="001F05CA" w:rsidRPr="007A377B" w:rsidRDefault="001F05CA" w:rsidP="00BE5999">
      <w:pPr>
        <w:spacing w:after="0" w:line="240" w:lineRule="atLeast"/>
        <w:ind w:left="-142" w:right="-232"/>
        <w:jc w:val="both"/>
        <w:rPr>
          <w:rFonts w:ascii="Gotham" w:hAnsi="Gotham"/>
          <w:bCs/>
          <w:i/>
          <w:iCs/>
        </w:rPr>
      </w:pPr>
    </w:p>
    <w:p w14:paraId="13056C1B" w14:textId="3D63DF71" w:rsidR="00274714" w:rsidRPr="007A377B" w:rsidRDefault="00274714" w:rsidP="00BE5999">
      <w:pPr>
        <w:spacing w:after="0" w:line="240" w:lineRule="atLeast"/>
        <w:ind w:left="-142" w:right="-232"/>
        <w:jc w:val="both"/>
        <w:rPr>
          <w:rFonts w:ascii="Gotham" w:hAnsi="Gotham"/>
          <w:bCs/>
          <w:i/>
          <w:iCs/>
        </w:rPr>
      </w:pPr>
      <w:r w:rsidRPr="007A377B">
        <w:rPr>
          <w:rFonts w:ascii="Gotham" w:hAnsi="Gotham"/>
          <w:b/>
          <w:i/>
          <w:iCs/>
        </w:rPr>
        <w:t>III. Centro de Control, Comando, Comunicación, Cómputo y Calidad;</w:t>
      </w:r>
      <w:r w:rsidR="00BE5999" w:rsidRPr="007A377B">
        <w:rPr>
          <w:rFonts w:ascii="Gotham" w:hAnsi="Gotham"/>
          <w:b/>
          <w:i/>
          <w:iCs/>
        </w:rPr>
        <w:t>”</w:t>
      </w:r>
      <w:r w:rsidRPr="007A377B">
        <w:rPr>
          <w:rFonts w:ascii="Gotham" w:hAnsi="Gotham"/>
          <w:b/>
          <w:i/>
          <w:iCs/>
        </w:rPr>
        <w:t xml:space="preserve"> (énfasis añadido)</w:t>
      </w:r>
    </w:p>
    <w:p w14:paraId="03303AFA" w14:textId="5210F956" w:rsidR="001F05CA" w:rsidRPr="007A377B" w:rsidRDefault="001F05CA" w:rsidP="00BE5999">
      <w:pPr>
        <w:spacing w:after="0" w:line="240" w:lineRule="atLeast"/>
        <w:ind w:left="-142" w:right="-232"/>
        <w:jc w:val="both"/>
        <w:rPr>
          <w:rFonts w:ascii="Gotham" w:hAnsi="Gotham"/>
          <w:b/>
          <w:i/>
          <w:iCs/>
        </w:rPr>
      </w:pPr>
    </w:p>
    <w:p w14:paraId="7E69D484" w14:textId="5068E444" w:rsidR="00274714" w:rsidRPr="007A377B" w:rsidRDefault="00BE5999" w:rsidP="00BE5999">
      <w:pPr>
        <w:spacing w:after="0" w:line="240" w:lineRule="atLeast"/>
        <w:ind w:left="-142" w:right="-232"/>
        <w:jc w:val="both"/>
        <w:rPr>
          <w:rFonts w:ascii="Gotham" w:hAnsi="Gotham"/>
          <w:bCs/>
          <w:i/>
          <w:iCs/>
        </w:rPr>
      </w:pPr>
      <w:r w:rsidRPr="007A377B">
        <w:rPr>
          <w:rFonts w:ascii="Gotham" w:hAnsi="Gotham"/>
          <w:b/>
          <w:i/>
          <w:iCs/>
        </w:rPr>
        <w:t>“</w:t>
      </w:r>
      <w:r w:rsidR="00274714" w:rsidRPr="007A377B">
        <w:rPr>
          <w:rFonts w:ascii="Gotham" w:hAnsi="Gotham"/>
          <w:b/>
          <w:i/>
          <w:iCs/>
        </w:rPr>
        <w:t>Artículo 28.</w:t>
      </w:r>
      <w:r w:rsidR="00274714" w:rsidRPr="007A377B">
        <w:rPr>
          <w:rFonts w:ascii="Gotham" w:hAnsi="Gotham"/>
          <w:bCs/>
          <w:i/>
          <w:iCs/>
        </w:rPr>
        <w:t xml:space="preserve"> Corresponden al Centro de Control, Comando, Comunicación, Cómputo y Calidad las atribuciones siguientes: </w:t>
      </w:r>
    </w:p>
    <w:p w14:paraId="5F2D8FF8" w14:textId="77777777" w:rsidR="00274714" w:rsidRPr="007A377B" w:rsidRDefault="00274714" w:rsidP="00BE5999">
      <w:pPr>
        <w:spacing w:after="0" w:line="240" w:lineRule="atLeast"/>
        <w:ind w:left="-142" w:right="-232"/>
        <w:jc w:val="both"/>
        <w:rPr>
          <w:rFonts w:ascii="Gotham" w:hAnsi="Gotham"/>
          <w:bCs/>
          <w:i/>
          <w:iCs/>
        </w:rPr>
      </w:pPr>
    </w:p>
    <w:p w14:paraId="7BDA6A4E" w14:textId="77777777" w:rsidR="00274714" w:rsidRPr="007A377B" w:rsidRDefault="00274714" w:rsidP="00BE5999">
      <w:pPr>
        <w:spacing w:after="0" w:line="240" w:lineRule="atLeast"/>
        <w:ind w:left="-142" w:right="-232"/>
        <w:jc w:val="both"/>
        <w:rPr>
          <w:rFonts w:ascii="Gotham" w:hAnsi="Gotham"/>
          <w:bCs/>
          <w:i/>
          <w:iCs/>
        </w:rPr>
      </w:pPr>
      <w:r w:rsidRPr="007A377B">
        <w:rPr>
          <w:rFonts w:ascii="Gotham" w:hAnsi="Gotham"/>
          <w:b/>
          <w:i/>
          <w:iCs/>
        </w:rPr>
        <w:t>I.</w:t>
      </w:r>
      <w:r w:rsidRPr="007A377B">
        <w:rPr>
          <w:rFonts w:ascii="Gotham" w:hAnsi="Gotham"/>
          <w:bCs/>
          <w:i/>
          <w:iCs/>
        </w:rPr>
        <w:t xml:space="preserve"> Realizar la revisión física de los recursos materiales, humanos y técnicos con que cuenten los municipios, a efecto de determinar si éstos cumplen con los requisitos necesarios para transferirles el servicio público de tránsito; </w:t>
      </w:r>
    </w:p>
    <w:p w14:paraId="6D55B8D9" w14:textId="77777777" w:rsidR="00274714" w:rsidRPr="007A377B" w:rsidRDefault="00274714" w:rsidP="00BE5999">
      <w:pPr>
        <w:spacing w:after="0" w:line="240" w:lineRule="atLeast"/>
        <w:ind w:left="-142" w:right="-232"/>
        <w:jc w:val="both"/>
        <w:rPr>
          <w:rFonts w:ascii="Gotham" w:hAnsi="Gotham"/>
          <w:bCs/>
          <w:i/>
          <w:iCs/>
        </w:rPr>
      </w:pPr>
    </w:p>
    <w:p w14:paraId="20DD8919" w14:textId="77777777" w:rsidR="00274714" w:rsidRPr="007A377B" w:rsidRDefault="00274714" w:rsidP="00BE5999">
      <w:pPr>
        <w:spacing w:after="0" w:line="240" w:lineRule="atLeast"/>
        <w:ind w:left="-142" w:right="-232"/>
        <w:jc w:val="both"/>
        <w:rPr>
          <w:rFonts w:ascii="Gotham" w:hAnsi="Gotham"/>
          <w:bCs/>
          <w:i/>
          <w:iCs/>
        </w:rPr>
      </w:pPr>
      <w:r w:rsidRPr="007A377B">
        <w:rPr>
          <w:rFonts w:ascii="Gotham" w:hAnsi="Gotham"/>
          <w:b/>
          <w:i/>
          <w:iCs/>
        </w:rPr>
        <w:t>II.</w:t>
      </w:r>
      <w:r w:rsidRPr="007A377B">
        <w:rPr>
          <w:rFonts w:ascii="Gotham" w:hAnsi="Gotham"/>
          <w:bCs/>
          <w:i/>
          <w:iCs/>
        </w:rPr>
        <w:t xml:space="preserve"> Atender, analizar y procesar información derivada de los sistemas de atención de llamadas de emergencias, sistema de denuncia anónima, reportes policiales y demás fuentes relacionadas, así como generar los reportes respectivos; </w:t>
      </w:r>
    </w:p>
    <w:p w14:paraId="74E95170" w14:textId="77777777" w:rsidR="00274714" w:rsidRPr="007A377B" w:rsidRDefault="00274714" w:rsidP="00BE5999">
      <w:pPr>
        <w:spacing w:after="0" w:line="240" w:lineRule="atLeast"/>
        <w:ind w:left="-142" w:right="-232"/>
        <w:jc w:val="both"/>
        <w:rPr>
          <w:rFonts w:ascii="Gotham" w:hAnsi="Gotham"/>
          <w:bCs/>
          <w:i/>
          <w:iCs/>
        </w:rPr>
      </w:pPr>
    </w:p>
    <w:p w14:paraId="580527BC" w14:textId="77777777" w:rsidR="00274714" w:rsidRPr="007A377B" w:rsidRDefault="00274714" w:rsidP="00BE5999">
      <w:pPr>
        <w:spacing w:after="0" w:line="240" w:lineRule="atLeast"/>
        <w:ind w:left="-142" w:right="-232"/>
        <w:jc w:val="both"/>
        <w:rPr>
          <w:rFonts w:ascii="Gotham" w:hAnsi="Gotham"/>
          <w:bCs/>
          <w:i/>
          <w:iCs/>
        </w:rPr>
      </w:pPr>
      <w:r w:rsidRPr="007A377B">
        <w:rPr>
          <w:rFonts w:ascii="Gotham" w:hAnsi="Gotham"/>
          <w:b/>
          <w:i/>
          <w:iCs/>
        </w:rPr>
        <w:t>III.</w:t>
      </w:r>
      <w:r w:rsidRPr="007A377B">
        <w:rPr>
          <w:rFonts w:ascii="Gotham" w:hAnsi="Gotham"/>
          <w:bCs/>
          <w:i/>
          <w:iCs/>
        </w:rPr>
        <w:t xml:space="preserve"> Impulsar la homologación de los sistemas de atención de llamadas de emergencia en el Estado de México, a fin de reducir los tiempos de atención y mejorar la calidad del servicio prestado a la ciudadanía; </w:t>
      </w:r>
    </w:p>
    <w:p w14:paraId="13CAB0D8" w14:textId="77777777" w:rsidR="00274714" w:rsidRPr="007A377B" w:rsidRDefault="00274714" w:rsidP="00BE5999">
      <w:pPr>
        <w:spacing w:after="0" w:line="240" w:lineRule="atLeast"/>
        <w:ind w:left="-142" w:right="-232"/>
        <w:jc w:val="both"/>
        <w:rPr>
          <w:rFonts w:ascii="Gotham" w:hAnsi="Gotham"/>
          <w:b/>
          <w:i/>
          <w:iCs/>
        </w:rPr>
      </w:pPr>
    </w:p>
    <w:p w14:paraId="18B96630" w14:textId="77777777" w:rsidR="00274714" w:rsidRPr="007A377B" w:rsidRDefault="00274714" w:rsidP="00BE5999">
      <w:pPr>
        <w:spacing w:after="0" w:line="240" w:lineRule="atLeast"/>
        <w:ind w:left="-142" w:right="-232"/>
        <w:jc w:val="both"/>
        <w:rPr>
          <w:rFonts w:ascii="Gotham" w:hAnsi="Gotham"/>
          <w:bCs/>
          <w:i/>
          <w:iCs/>
        </w:rPr>
      </w:pPr>
      <w:r w:rsidRPr="007A377B">
        <w:rPr>
          <w:rFonts w:ascii="Gotham" w:hAnsi="Gotham"/>
          <w:b/>
          <w:i/>
          <w:iCs/>
        </w:rPr>
        <w:t>V.</w:t>
      </w:r>
      <w:r w:rsidRPr="007A377B">
        <w:rPr>
          <w:rFonts w:ascii="Gotham" w:hAnsi="Gotham"/>
          <w:bCs/>
          <w:i/>
          <w:iCs/>
        </w:rPr>
        <w:t xml:space="preserve"> Operar y monitorear las imágenes de la </w:t>
      </w:r>
      <w:r w:rsidRPr="007A377B">
        <w:rPr>
          <w:rFonts w:ascii="Gotham" w:hAnsi="Gotham"/>
          <w:b/>
          <w:i/>
          <w:iCs/>
        </w:rPr>
        <w:t>red de videovigilancia estatal en lugares públicos</w:t>
      </w:r>
      <w:r w:rsidRPr="007A377B">
        <w:rPr>
          <w:rFonts w:ascii="Gotham" w:hAnsi="Gotham"/>
          <w:bCs/>
          <w:i/>
          <w:iCs/>
        </w:rPr>
        <w:t xml:space="preserve"> </w:t>
      </w:r>
      <w:r w:rsidRPr="007A377B">
        <w:rPr>
          <w:rFonts w:ascii="Gotham" w:hAnsi="Gotham"/>
          <w:b/>
          <w:i/>
          <w:iCs/>
        </w:rPr>
        <w:t>o en lugares privados con acceso al público</w:t>
      </w:r>
      <w:r w:rsidRPr="007A377B">
        <w:rPr>
          <w:rFonts w:ascii="Gotham" w:hAnsi="Gotham"/>
          <w:bCs/>
          <w:i/>
          <w:iCs/>
        </w:rPr>
        <w:t xml:space="preserve">, coadyuvando con la prevención y combate del delito; </w:t>
      </w:r>
    </w:p>
    <w:p w14:paraId="4A2C20A7" w14:textId="77777777" w:rsidR="00274714" w:rsidRPr="007A377B" w:rsidRDefault="00274714" w:rsidP="00BE5999">
      <w:pPr>
        <w:spacing w:after="0" w:line="240" w:lineRule="atLeast"/>
        <w:ind w:left="-142" w:right="-232"/>
        <w:jc w:val="both"/>
        <w:rPr>
          <w:rFonts w:ascii="Gotham" w:hAnsi="Gotham"/>
          <w:bCs/>
          <w:i/>
          <w:iCs/>
        </w:rPr>
      </w:pPr>
    </w:p>
    <w:p w14:paraId="1DC887D2" w14:textId="1B91F9E2" w:rsidR="00274714" w:rsidRPr="007A377B" w:rsidRDefault="00274714" w:rsidP="00BE5999">
      <w:pPr>
        <w:spacing w:after="0" w:line="240" w:lineRule="atLeast"/>
        <w:ind w:left="-142" w:right="-232"/>
        <w:jc w:val="both"/>
        <w:rPr>
          <w:rFonts w:ascii="Gotham" w:hAnsi="Gotham"/>
          <w:bCs/>
          <w:i/>
          <w:iCs/>
        </w:rPr>
      </w:pPr>
      <w:r w:rsidRPr="007A377B">
        <w:rPr>
          <w:rFonts w:ascii="Gotham" w:hAnsi="Gotham"/>
          <w:b/>
          <w:i/>
          <w:iCs/>
        </w:rPr>
        <w:t>VI.</w:t>
      </w:r>
      <w:r w:rsidRPr="007A377B">
        <w:rPr>
          <w:rFonts w:ascii="Gotham" w:hAnsi="Gotham"/>
          <w:bCs/>
          <w:i/>
          <w:iCs/>
        </w:rPr>
        <w:t xml:space="preserve"> Analizar y procesar la información obtenida de los sistemas tecnológicos con los que se cuenten, para realizar consignas operativas; </w:t>
      </w:r>
    </w:p>
    <w:p w14:paraId="31F694E2" w14:textId="77777777" w:rsidR="00274714" w:rsidRPr="007A377B" w:rsidRDefault="00274714" w:rsidP="00BE5999">
      <w:pPr>
        <w:spacing w:after="0" w:line="240" w:lineRule="atLeast"/>
        <w:ind w:left="-142" w:right="-232"/>
        <w:jc w:val="both"/>
        <w:rPr>
          <w:rFonts w:ascii="Gotham" w:hAnsi="Gotham"/>
          <w:bCs/>
          <w:i/>
          <w:iCs/>
        </w:rPr>
      </w:pPr>
    </w:p>
    <w:p w14:paraId="4764ED07" w14:textId="77777777" w:rsidR="00274714" w:rsidRPr="007A377B" w:rsidRDefault="00274714" w:rsidP="00BE5999">
      <w:pPr>
        <w:spacing w:after="0" w:line="240" w:lineRule="atLeast"/>
        <w:ind w:left="-142" w:right="-232"/>
        <w:jc w:val="both"/>
        <w:rPr>
          <w:rFonts w:ascii="Gotham" w:hAnsi="Gotham"/>
          <w:bCs/>
          <w:i/>
          <w:iCs/>
        </w:rPr>
      </w:pPr>
      <w:r w:rsidRPr="007A377B">
        <w:rPr>
          <w:rFonts w:ascii="Gotham" w:hAnsi="Gotham"/>
          <w:b/>
          <w:i/>
          <w:iCs/>
        </w:rPr>
        <w:t>VII.</w:t>
      </w:r>
      <w:r w:rsidRPr="007A377B">
        <w:rPr>
          <w:rFonts w:ascii="Gotham" w:hAnsi="Gotham"/>
          <w:bCs/>
          <w:i/>
          <w:iCs/>
        </w:rPr>
        <w:t xml:space="preserve"> Proporcionar, en el ámbito de su competencia, asesoría técnica jurídica de los equipos y sistemas tecnológicos con los que operan; </w:t>
      </w:r>
    </w:p>
    <w:p w14:paraId="640FFDEF" w14:textId="77777777" w:rsidR="00274714" w:rsidRPr="007A377B" w:rsidRDefault="00274714" w:rsidP="00BE5999">
      <w:pPr>
        <w:spacing w:after="0" w:line="240" w:lineRule="atLeast"/>
        <w:ind w:left="-142" w:right="-232"/>
        <w:jc w:val="both"/>
        <w:rPr>
          <w:rFonts w:ascii="Gotham" w:hAnsi="Gotham"/>
          <w:bCs/>
          <w:i/>
          <w:iCs/>
        </w:rPr>
      </w:pPr>
    </w:p>
    <w:p w14:paraId="5A912273" w14:textId="77777777" w:rsidR="00274714" w:rsidRPr="007A377B" w:rsidRDefault="00274714" w:rsidP="00BE5999">
      <w:pPr>
        <w:spacing w:after="0" w:line="240" w:lineRule="atLeast"/>
        <w:ind w:left="-142" w:right="-232"/>
        <w:jc w:val="both"/>
        <w:rPr>
          <w:rFonts w:ascii="Gotham" w:hAnsi="Gotham"/>
          <w:bCs/>
          <w:i/>
          <w:iCs/>
        </w:rPr>
      </w:pPr>
      <w:r w:rsidRPr="007A377B">
        <w:rPr>
          <w:rFonts w:ascii="Gotham" w:hAnsi="Gotham"/>
          <w:b/>
          <w:i/>
          <w:iCs/>
        </w:rPr>
        <w:t>VIII.</w:t>
      </w:r>
      <w:r w:rsidRPr="007A377B">
        <w:rPr>
          <w:rFonts w:ascii="Gotham" w:hAnsi="Gotham"/>
          <w:bCs/>
          <w:i/>
          <w:iCs/>
        </w:rPr>
        <w:t xml:space="preserve"> Coadyuvar, en el ámbito de su competencia, en el monitoreo y rastreo de la red pública de internet para la prevención y combate de delitos que se cometan utilizando medios electrónicos y tecnológicos; </w:t>
      </w:r>
    </w:p>
    <w:p w14:paraId="0D042926" w14:textId="77777777" w:rsidR="00274714" w:rsidRPr="007A377B" w:rsidRDefault="00274714" w:rsidP="00BE5999">
      <w:pPr>
        <w:spacing w:after="0" w:line="240" w:lineRule="atLeast"/>
        <w:ind w:left="-142" w:right="-232"/>
        <w:jc w:val="both"/>
        <w:rPr>
          <w:rFonts w:ascii="Gotham" w:hAnsi="Gotham"/>
          <w:bCs/>
          <w:i/>
          <w:iCs/>
        </w:rPr>
      </w:pPr>
    </w:p>
    <w:p w14:paraId="35EB914E" w14:textId="0CE374CA" w:rsidR="001B2EA8" w:rsidRPr="007A377B" w:rsidRDefault="00274714" w:rsidP="00BE5999">
      <w:pPr>
        <w:spacing w:after="0" w:line="240" w:lineRule="atLeast"/>
        <w:ind w:left="-142" w:right="-232"/>
        <w:jc w:val="both"/>
        <w:rPr>
          <w:rFonts w:ascii="Gotham" w:hAnsi="Gotham"/>
          <w:bCs/>
          <w:i/>
          <w:iCs/>
        </w:rPr>
      </w:pPr>
      <w:r w:rsidRPr="007A377B">
        <w:rPr>
          <w:rFonts w:ascii="Gotham" w:hAnsi="Gotham"/>
          <w:b/>
          <w:i/>
          <w:iCs/>
        </w:rPr>
        <w:t>IX.</w:t>
      </w:r>
      <w:r w:rsidRPr="007A377B">
        <w:rPr>
          <w:rFonts w:ascii="Gotham" w:hAnsi="Gotham"/>
          <w:bCs/>
          <w:i/>
          <w:iCs/>
        </w:rPr>
        <w:t xml:space="preserve"> Establecer los mecanismos que permitan actualizar permanentemente la información relacionada con los registros y bases de datos de los sistemas tecnológicos, a fin de generar los reportes correspondientes dentro de Plataforma México y Plataforma Mexiquense;</w:t>
      </w:r>
    </w:p>
    <w:p w14:paraId="02767952" w14:textId="77777777" w:rsidR="001B2EA8" w:rsidRPr="007A377B" w:rsidRDefault="001B2EA8" w:rsidP="00BE5999">
      <w:pPr>
        <w:spacing w:after="0" w:line="240" w:lineRule="atLeast"/>
        <w:ind w:left="-142" w:right="-232"/>
        <w:jc w:val="both"/>
        <w:rPr>
          <w:rFonts w:ascii="Gotham" w:hAnsi="Gotham"/>
          <w:bCs/>
          <w:i/>
          <w:iCs/>
        </w:rPr>
      </w:pPr>
    </w:p>
    <w:p w14:paraId="109D77AE" w14:textId="77777777" w:rsidR="00274714" w:rsidRPr="007A377B" w:rsidRDefault="00274714" w:rsidP="00BE5999">
      <w:pPr>
        <w:spacing w:after="0" w:line="240" w:lineRule="atLeast"/>
        <w:ind w:left="-142" w:right="-232"/>
        <w:jc w:val="both"/>
        <w:rPr>
          <w:rFonts w:ascii="Gotham" w:hAnsi="Gotham"/>
          <w:bCs/>
          <w:i/>
          <w:iCs/>
        </w:rPr>
      </w:pPr>
      <w:r w:rsidRPr="007A377B">
        <w:rPr>
          <w:rFonts w:ascii="Gotham" w:hAnsi="Gotham"/>
          <w:b/>
          <w:i/>
          <w:iCs/>
        </w:rPr>
        <w:t>XI.</w:t>
      </w:r>
      <w:r w:rsidRPr="007A377B">
        <w:rPr>
          <w:rFonts w:ascii="Gotham" w:hAnsi="Gotham"/>
          <w:bCs/>
          <w:i/>
          <w:iCs/>
        </w:rPr>
        <w:t xml:space="preserve"> Elaborar y emitir los dictámenes técnicos de equipo, vehículos, tecnología, armamento y demás bienes necesarios en materia de seguridad para el desarrollo de las atribuciones de la Secretaría y sus órganos desconcentrados, así como para las Instituciones policiales; </w:t>
      </w:r>
    </w:p>
    <w:p w14:paraId="50D93AB1" w14:textId="77777777" w:rsidR="00274714" w:rsidRPr="007A377B" w:rsidRDefault="00274714" w:rsidP="00BE5999">
      <w:pPr>
        <w:spacing w:after="0" w:line="240" w:lineRule="atLeast"/>
        <w:ind w:left="-142" w:right="-232"/>
        <w:jc w:val="both"/>
        <w:rPr>
          <w:rFonts w:ascii="Gotham" w:hAnsi="Gotham"/>
          <w:bCs/>
          <w:i/>
          <w:iCs/>
        </w:rPr>
      </w:pPr>
    </w:p>
    <w:p w14:paraId="73900343" w14:textId="77777777" w:rsidR="00274714" w:rsidRPr="007A377B" w:rsidRDefault="00274714" w:rsidP="00BE5999">
      <w:pPr>
        <w:spacing w:after="0" w:line="240" w:lineRule="atLeast"/>
        <w:ind w:left="-142" w:right="-232"/>
        <w:jc w:val="both"/>
        <w:rPr>
          <w:rFonts w:ascii="Gotham" w:hAnsi="Gotham"/>
          <w:bCs/>
          <w:i/>
          <w:iCs/>
        </w:rPr>
      </w:pPr>
      <w:r w:rsidRPr="007A377B">
        <w:rPr>
          <w:rFonts w:ascii="Gotham" w:hAnsi="Gotham"/>
          <w:b/>
          <w:i/>
          <w:iCs/>
        </w:rPr>
        <w:lastRenderedPageBreak/>
        <w:t>XII.</w:t>
      </w:r>
      <w:r w:rsidRPr="007A377B">
        <w:rPr>
          <w:rFonts w:ascii="Gotham" w:hAnsi="Gotham"/>
          <w:bCs/>
          <w:i/>
          <w:iCs/>
        </w:rPr>
        <w:t xml:space="preserve"> Emitir los dictámenes de factibilidad técnica para la adquisición de bienes, servicios y proyectos con contenido tecnológico en materia de seguridad, que requieran las Unidades Administrativas de la Secretaría y sus órganos desconcentrados, así como para las Instituciones Policiales, con la finalidad de asegurar que las herramientas tecnológicas a su servicio cuenten con altos estándares de calidad y cumplan con las condiciones y características requeridas para el desempeño de sus atribuciones; </w:t>
      </w:r>
    </w:p>
    <w:p w14:paraId="2660049C" w14:textId="77777777" w:rsidR="00274714" w:rsidRPr="007A377B" w:rsidRDefault="00274714" w:rsidP="00BE5999">
      <w:pPr>
        <w:spacing w:after="0" w:line="240" w:lineRule="atLeast"/>
        <w:ind w:left="-142" w:right="-232"/>
        <w:jc w:val="both"/>
        <w:rPr>
          <w:rFonts w:ascii="Gotham" w:hAnsi="Gotham"/>
          <w:bCs/>
          <w:i/>
          <w:iCs/>
        </w:rPr>
      </w:pPr>
    </w:p>
    <w:p w14:paraId="788D8D71" w14:textId="77777777" w:rsidR="00274714" w:rsidRPr="007A377B" w:rsidRDefault="00274714" w:rsidP="00BE5999">
      <w:pPr>
        <w:spacing w:after="0" w:line="240" w:lineRule="atLeast"/>
        <w:ind w:left="-142" w:right="-232"/>
        <w:jc w:val="both"/>
        <w:rPr>
          <w:rFonts w:ascii="Gotham" w:hAnsi="Gotham"/>
          <w:bCs/>
          <w:i/>
          <w:iCs/>
        </w:rPr>
      </w:pPr>
      <w:r w:rsidRPr="007A377B">
        <w:rPr>
          <w:rFonts w:ascii="Gotham" w:hAnsi="Gotham"/>
          <w:b/>
          <w:i/>
          <w:iCs/>
        </w:rPr>
        <w:t>XVIII.</w:t>
      </w:r>
      <w:r w:rsidRPr="007A377B">
        <w:rPr>
          <w:rFonts w:ascii="Gotham" w:hAnsi="Gotham"/>
          <w:bCs/>
          <w:i/>
          <w:iCs/>
        </w:rPr>
        <w:t xml:space="preserve"> Impulsar la homologación del prefijo 089 del Sistema de Denuncias Anónimas que realice la población, por la posible comisión de hechos que pudiesen ser constitutivos de delitos; </w:t>
      </w:r>
    </w:p>
    <w:p w14:paraId="3DD323A5" w14:textId="77777777" w:rsidR="00274714" w:rsidRPr="007A377B" w:rsidRDefault="00274714" w:rsidP="00BE5999">
      <w:pPr>
        <w:spacing w:after="0" w:line="240" w:lineRule="atLeast"/>
        <w:ind w:left="-142" w:right="-232"/>
        <w:jc w:val="both"/>
        <w:rPr>
          <w:rFonts w:ascii="Gotham" w:hAnsi="Gotham"/>
          <w:bCs/>
          <w:i/>
          <w:iCs/>
        </w:rPr>
      </w:pPr>
    </w:p>
    <w:p w14:paraId="58A24EE4" w14:textId="69780E8D" w:rsidR="001B2EA8" w:rsidRPr="007A377B" w:rsidRDefault="00274714" w:rsidP="00BE5999">
      <w:pPr>
        <w:spacing w:after="0" w:line="240" w:lineRule="atLeast"/>
        <w:ind w:left="-142" w:right="-232"/>
        <w:jc w:val="both"/>
        <w:rPr>
          <w:rFonts w:ascii="Gotham" w:hAnsi="Gotham"/>
          <w:bCs/>
          <w:i/>
          <w:iCs/>
        </w:rPr>
      </w:pPr>
      <w:r w:rsidRPr="007A377B">
        <w:rPr>
          <w:rFonts w:ascii="Gotham" w:hAnsi="Gotham"/>
          <w:b/>
          <w:i/>
          <w:iCs/>
        </w:rPr>
        <w:t>XIX.</w:t>
      </w:r>
      <w:r w:rsidRPr="007A377B">
        <w:rPr>
          <w:rFonts w:ascii="Gotham" w:hAnsi="Gotham"/>
          <w:bCs/>
          <w:i/>
          <w:iCs/>
        </w:rPr>
        <w:t xml:space="preserve"> Operar los equipos y sistemas tecnológicos con los que cuente, para coadyuvar en la prevención de ilícitos dentro del territorio mexiquense;</w:t>
      </w:r>
    </w:p>
    <w:p w14:paraId="0D89E12D" w14:textId="77777777" w:rsidR="00274714" w:rsidRPr="007A377B" w:rsidRDefault="00274714" w:rsidP="00BE5999">
      <w:pPr>
        <w:spacing w:after="0" w:line="240" w:lineRule="atLeast"/>
        <w:ind w:left="-142" w:right="-232"/>
        <w:jc w:val="both"/>
        <w:rPr>
          <w:rFonts w:ascii="Gotham" w:hAnsi="Gotham"/>
          <w:bCs/>
          <w:i/>
          <w:iCs/>
        </w:rPr>
      </w:pPr>
    </w:p>
    <w:p w14:paraId="50AEB698" w14:textId="77777777" w:rsidR="00274714" w:rsidRPr="007A377B" w:rsidRDefault="00274714" w:rsidP="00BE5999">
      <w:pPr>
        <w:spacing w:after="0" w:line="240" w:lineRule="atLeast"/>
        <w:ind w:left="-142" w:right="-232"/>
        <w:jc w:val="both"/>
        <w:rPr>
          <w:rFonts w:ascii="Gotham" w:hAnsi="Gotham"/>
          <w:bCs/>
          <w:i/>
          <w:iCs/>
        </w:rPr>
      </w:pPr>
      <w:r w:rsidRPr="007A377B">
        <w:rPr>
          <w:rFonts w:ascii="Gotham" w:hAnsi="Gotham"/>
          <w:b/>
          <w:i/>
          <w:iCs/>
        </w:rPr>
        <w:t>XXVII.</w:t>
      </w:r>
      <w:r w:rsidRPr="007A377B">
        <w:rPr>
          <w:rFonts w:ascii="Gotham" w:hAnsi="Gotham"/>
          <w:bCs/>
          <w:i/>
          <w:iCs/>
        </w:rPr>
        <w:t xml:space="preserve"> Coadyuvar en los proyectos que permitan la operación y homologación de la infraestructura tecnológica que opera, para permitir la interconexión de sus medios electrónicos; </w:t>
      </w:r>
    </w:p>
    <w:p w14:paraId="0C46B0B3" w14:textId="77777777" w:rsidR="00BE5999" w:rsidRPr="007A377B" w:rsidRDefault="00BE5999" w:rsidP="00BE5999">
      <w:pPr>
        <w:spacing w:after="0" w:line="240" w:lineRule="atLeast"/>
        <w:ind w:left="-142" w:right="-232"/>
        <w:jc w:val="both"/>
        <w:rPr>
          <w:rFonts w:ascii="Gotham" w:hAnsi="Gotham"/>
          <w:bCs/>
          <w:i/>
          <w:iCs/>
        </w:rPr>
      </w:pPr>
    </w:p>
    <w:p w14:paraId="03BB6E16" w14:textId="77777777" w:rsidR="00274714" w:rsidRPr="007A377B" w:rsidRDefault="00274714" w:rsidP="00BE5999">
      <w:pPr>
        <w:spacing w:after="0" w:line="240" w:lineRule="atLeast"/>
        <w:ind w:left="-142" w:right="-232"/>
        <w:jc w:val="both"/>
        <w:rPr>
          <w:rFonts w:ascii="Gotham" w:hAnsi="Gotham"/>
          <w:bCs/>
          <w:i/>
          <w:iCs/>
        </w:rPr>
      </w:pPr>
      <w:r w:rsidRPr="007A377B">
        <w:rPr>
          <w:rFonts w:ascii="Gotham" w:hAnsi="Gotham"/>
          <w:b/>
          <w:i/>
          <w:iCs/>
        </w:rPr>
        <w:t>XXIX.</w:t>
      </w:r>
      <w:r w:rsidRPr="007A377B">
        <w:rPr>
          <w:rFonts w:ascii="Gotham" w:hAnsi="Gotham"/>
          <w:bCs/>
          <w:i/>
          <w:iCs/>
        </w:rPr>
        <w:t xml:space="preserve"> Administrar los sitios de repetición, proporcionando el mantenimiento preventivo y correctivo para el funcionamiento de los servicios de comunicación con los que operan, y </w:t>
      </w:r>
    </w:p>
    <w:p w14:paraId="3027CE44" w14:textId="77777777" w:rsidR="00274714" w:rsidRPr="007A377B" w:rsidRDefault="00274714" w:rsidP="00BE5999">
      <w:pPr>
        <w:spacing w:after="0" w:line="240" w:lineRule="atLeast"/>
        <w:ind w:left="-142" w:right="-232"/>
        <w:jc w:val="both"/>
        <w:rPr>
          <w:rFonts w:ascii="Gotham" w:hAnsi="Gotham"/>
          <w:bCs/>
          <w:i/>
          <w:iCs/>
        </w:rPr>
      </w:pPr>
    </w:p>
    <w:p w14:paraId="6AFB6E69" w14:textId="77777777" w:rsidR="00BE5999" w:rsidRPr="007A377B" w:rsidRDefault="00274714" w:rsidP="00BE5999">
      <w:pPr>
        <w:spacing w:after="0" w:line="240" w:lineRule="atLeast"/>
        <w:ind w:left="-142" w:right="-232"/>
        <w:jc w:val="both"/>
        <w:rPr>
          <w:rFonts w:ascii="Gotham" w:hAnsi="Gotham"/>
          <w:bCs/>
          <w:i/>
          <w:iCs/>
        </w:rPr>
      </w:pPr>
      <w:r w:rsidRPr="007A377B">
        <w:rPr>
          <w:rFonts w:ascii="Gotham" w:hAnsi="Gotham"/>
          <w:b/>
          <w:i/>
          <w:iCs/>
        </w:rPr>
        <w:t>XXX.</w:t>
      </w:r>
      <w:r w:rsidRPr="007A377B">
        <w:rPr>
          <w:rFonts w:ascii="Gotham" w:hAnsi="Gotham"/>
          <w:bCs/>
          <w:i/>
          <w:iCs/>
        </w:rPr>
        <w:t xml:space="preserve"> Las demás que les confieran otras disposiciones jurídicas y las que le encomiende la persona titular de la Secretaría.</w:t>
      </w:r>
      <w:r w:rsidR="00BE5999" w:rsidRPr="007A377B">
        <w:rPr>
          <w:rFonts w:ascii="Gotham" w:hAnsi="Gotham"/>
          <w:bCs/>
          <w:i/>
          <w:iCs/>
        </w:rPr>
        <w:t xml:space="preserve">” </w:t>
      </w:r>
      <w:r w:rsidR="00BE5999" w:rsidRPr="007A377B">
        <w:rPr>
          <w:rFonts w:ascii="Gotham" w:hAnsi="Gotham"/>
          <w:b/>
          <w:i/>
          <w:iCs/>
        </w:rPr>
        <w:t>(énfasis añadido)</w:t>
      </w:r>
    </w:p>
    <w:p w14:paraId="1364FD76" w14:textId="77777777" w:rsidR="001B2EA8" w:rsidRPr="007A377B" w:rsidRDefault="001B2EA8" w:rsidP="00BE5999">
      <w:pPr>
        <w:spacing w:after="0" w:line="240" w:lineRule="atLeast"/>
        <w:ind w:left="-142" w:right="-232"/>
        <w:jc w:val="both"/>
        <w:rPr>
          <w:rFonts w:ascii="Gotham" w:hAnsi="Gotham"/>
          <w:bCs/>
          <w:i/>
          <w:iCs/>
        </w:rPr>
      </w:pPr>
    </w:p>
    <w:p w14:paraId="58A5C948" w14:textId="77777777" w:rsidR="00BE5999" w:rsidRPr="007A377B" w:rsidRDefault="00BE5999" w:rsidP="00BE5999">
      <w:pPr>
        <w:spacing w:after="0" w:line="240" w:lineRule="atLeast"/>
        <w:ind w:left="-142" w:right="-232"/>
        <w:jc w:val="center"/>
        <w:rPr>
          <w:rFonts w:ascii="Gotham" w:hAnsi="Gotham"/>
          <w:b/>
          <w:bCs/>
          <w:i/>
          <w:iCs/>
        </w:rPr>
      </w:pPr>
      <w:r w:rsidRPr="007A377B">
        <w:rPr>
          <w:rFonts w:ascii="Gotham" w:hAnsi="Gotham"/>
          <w:b/>
          <w:bCs/>
          <w:i/>
          <w:iCs/>
        </w:rPr>
        <w:t>Ley Orgánica Municipal del Estado de México</w:t>
      </w:r>
    </w:p>
    <w:p w14:paraId="6B27A8B1" w14:textId="77777777" w:rsidR="00BE5999" w:rsidRPr="007A377B" w:rsidRDefault="00BE5999" w:rsidP="00BE5999">
      <w:pPr>
        <w:spacing w:after="0" w:line="240" w:lineRule="atLeast"/>
        <w:ind w:left="-142" w:right="-232"/>
        <w:jc w:val="both"/>
        <w:rPr>
          <w:rFonts w:ascii="Gotham" w:hAnsi="Gotham"/>
          <w:i/>
          <w:iCs/>
        </w:rPr>
      </w:pPr>
    </w:p>
    <w:p w14:paraId="6B7F90D3" w14:textId="77777777" w:rsidR="00BE5999" w:rsidRPr="007A377B" w:rsidRDefault="00BE5999" w:rsidP="00BE5999">
      <w:pPr>
        <w:spacing w:after="0" w:line="240" w:lineRule="atLeast"/>
        <w:ind w:left="-142" w:right="-232"/>
        <w:jc w:val="both"/>
        <w:rPr>
          <w:rFonts w:ascii="Gotham" w:hAnsi="Gotham"/>
          <w:i/>
          <w:iCs/>
        </w:rPr>
      </w:pPr>
      <w:r w:rsidRPr="007A377B">
        <w:rPr>
          <w:rFonts w:ascii="Gotham" w:hAnsi="Gotham"/>
          <w:b/>
          <w:bCs/>
          <w:i/>
          <w:iCs/>
        </w:rPr>
        <w:t>“Artículo 1.-</w:t>
      </w:r>
      <w:r w:rsidRPr="007A377B">
        <w:rPr>
          <w:rFonts w:ascii="Gotham" w:hAnsi="Gotham"/>
          <w:i/>
          <w:iCs/>
        </w:rPr>
        <w:t xml:space="preserve"> Esta Ley es de interés público y tiene por objeto regular las bases para la integración y organización del territorio, la población, el gobierno y la administración pública municipales. </w:t>
      </w:r>
    </w:p>
    <w:p w14:paraId="17E3D8AE" w14:textId="77777777" w:rsidR="00BE5999" w:rsidRPr="007A377B" w:rsidRDefault="00BE5999" w:rsidP="00BE5999">
      <w:pPr>
        <w:spacing w:after="0" w:line="240" w:lineRule="atLeast"/>
        <w:ind w:left="-142" w:right="-232"/>
        <w:jc w:val="both"/>
        <w:rPr>
          <w:rFonts w:ascii="Gotham" w:hAnsi="Gotham"/>
          <w:i/>
          <w:iCs/>
        </w:rPr>
      </w:pPr>
    </w:p>
    <w:p w14:paraId="46CE458F" w14:textId="77777777" w:rsidR="00BE5999" w:rsidRPr="007A377B" w:rsidRDefault="00BE5999" w:rsidP="00BE5999">
      <w:pPr>
        <w:spacing w:after="0" w:line="240" w:lineRule="atLeast"/>
        <w:ind w:left="-142" w:right="-232"/>
        <w:jc w:val="both"/>
        <w:rPr>
          <w:rFonts w:ascii="Gotham" w:hAnsi="Gotham"/>
          <w:bCs/>
          <w:i/>
          <w:iCs/>
        </w:rPr>
      </w:pPr>
      <w:r w:rsidRPr="007A377B">
        <w:rPr>
          <w:rFonts w:ascii="Gotham" w:hAnsi="Gotham"/>
          <w:b/>
          <w:bCs/>
          <w:i/>
          <w:iCs/>
        </w:rPr>
        <w:t>El municipio libre es la base de la división territorial</w:t>
      </w:r>
      <w:r w:rsidRPr="007A377B">
        <w:rPr>
          <w:rFonts w:ascii="Gotham" w:hAnsi="Gotham"/>
          <w:i/>
          <w:iCs/>
        </w:rPr>
        <w:t xml:space="preserve"> y de la organización política del Estado, </w:t>
      </w:r>
      <w:r w:rsidRPr="007A377B">
        <w:rPr>
          <w:rFonts w:ascii="Gotham" w:hAnsi="Gotham"/>
          <w:b/>
          <w:bCs/>
          <w:i/>
          <w:iCs/>
        </w:rPr>
        <w:t>investido de personalidad jurídica propia,</w:t>
      </w:r>
      <w:r w:rsidRPr="007A377B">
        <w:rPr>
          <w:rFonts w:ascii="Gotham" w:hAnsi="Gotham"/>
          <w:i/>
          <w:iCs/>
        </w:rPr>
        <w:t xml:space="preserve"> integrado por una comunidad establecida en un territorio, con un </w:t>
      </w:r>
      <w:r w:rsidRPr="007A377B">
        <w:rPr>
          <w:rFonts w:ascii="Gotham" w:hAnsi="Gotham"/>
          <w:b/>
          <w:bCs/>
          <w:i/>
          <w:iCs/>
        </w:rPr>
        <w:t>gobierno autónomo en su régimen interior y en la administración de su hacienda pública</w:t>
      </w:r>
      <w:r w:rsidRPr="007A377B">
        <w:rPr>
          <w:rFonts w:ascii="Gotham" w:hAnsi="Gotham"/>
          <w:i/>
          <w:iCs/>
        </w:rPr>
        <w:t xml:space="preserve">, en términos del Artículo 115 de la Constitución Política de los Estados Unidos Mexicanos.” </w:t>
      </w:r>
      <w:r w:rsidRPr="007A377B">
        <w:rPr>
          <w:rFonts w:ascii="Gotham" w:hAnsi="Gotham"/>
          <w:b/>
          <w:i/>
          <w:iCs/>
        </w:rPr>
        <w:t>(énfasis añadido)</w:t>
      </w:r>
    </w:p>
    <w:p w14:paraId="5A20360E" w14:textId="77777777" w:rsidR="00BE5999" w:rsidRPr="007A377B" w:rsidRDefault="00BE5999" w:rsidP="00BE5999">
      <w:pPr>
        <w:spacing w:after="0" w:line="240" w:lineRule="atLeast"/>
        <w:ind w:left="-142" w:right="-232"/>
        <w:jc w:val="both"/>
        <w:rPr>
          <w:rFonts w:ascii="Gotham" w:hAnsi="Gotham"/>
          <w:i/>
          <w:iCs/>
        </w:rPr>
      </w:pPr>
    </w:p>
    <w:p w14:paraId="6A6CBF46" w14:textId="77777777" w:rsidR="00BE5999" w:rsidRPr="007A377B" w:rsidRDefault="00BE5999" w:rsidP="00BE5999">
      <w:pPr>
        <w:spacing w:after="0" w:line="240" w:lineRule="atLeast"/>
        <w:ind w:left="-142" w:right="-232"/>
        <w:jc w:val="both"/>
        <w:rPr>
          <w:rFonts w:ascii="Gotham" w:hAnsi="Gotham"/>
          <w:bCs/>
          <w:i/>
          <w:iCs/>
        </w:rPr>
      </w:pPr>
      <w:r w:rsidRPr="007A377B">
        <w:rPr>
          <w:rFonts w:ascii="Gotham" w:hAnsi="Gotham"/>
          <w:b/>
          <w:bCs/>
          <w:i/>
          <w:iCs/>
        </w:rPr>
        <w:t>“Artículo 2.-</w:t>
      </w:r>
      <w:r w:rsidRPr="007A377B">
        <w:rPr>
          <w:rFonts w:ascii="Gotham" w:hAnsi="Gotham"/>
          <w:i/>
          <w:iCs/>
        </w:rPr>
        <w:t xml:space="preserve"> Las autoridades municipales tienen las atribuciones que les señalen los ordenamientos federales, locales y municipales y las derivadas de los convenios que se celebren con el Gobierno del Estado o con otros municipios.” </w:t>
      </w:r>
      <w:r w:rsidRPr="007A377B">
        <w:rPr>
          <w:rFonts w:ascii="Gotham" w:hAnsi="Gotham"/>
          <w:b/>
          <w:i/>
          <w:iCs/>
        </w:rPr>
        <w:t>(énfasis añadido)</w:t>
      </w:r>
    </w:p>
    <w:p w14:paraId="00B7B77A" w14:textId="77777777" w:rsidR="00BE5999" w:rsidRPr="007A377B" w:rsidRDefault="00BE5999" w:rsidP="00BE5999">
      <w:pPr>
        <w:spacing w:after="0" w:line="240" w:lineRule="atLeast"/>
        <w:ind w:left="-142" w:right="-232"/>
        <w:jc w:val="both"/>
        <w:rPr>
          <w:rFonts w:ascii="Gotham" w:hAnsi="Gotham"/>
          <w:i/>
          <w:iCs/>
        </w:rPr>
      </w:pPr>
    </w:p>
    <w:p w14:paraId="76BBB4A0" w14:textId="77777777" w:rsidR="00BE5999" w:rsidRPr="007A377B" w:rsidRDefault="00BE5999" w:rsidP="00BE5999">
      <w:pPr>
        <w:spacing w:after="0" w:line="240" w:lineRule="atLeast"/>
        <w:ind w:left="-142" w:right="-232"/>
        <w:jc w:val="both"/>
        <w:rPr>
          <w:rFonts w:ascii="Gotham" w:hAnsi="Gotham"/>
          <w:bCs/>
          <w:i/>
          <w:iCs/>
        </w:rPr>
      </w:pPr>
      <w:r w:rsidRPr="007A377B">
        <w:rPr>
          <w:rFonts w:ascii="Gotham" w:hAnsi="Gotham"/>
          <w:b/>
          <w:bCs/>
          <w:i/>
          <w:iCs/>
        </w:rPr>
        <w:t>“Artículo 3.-</w:t>
      </w:r>
      <w:r w:rsidRPr="007A377B">
        <w:rPr>
          <w:rFonts w:ascii="Gotham" w:hAnsi="Gotham"/>
          <w:i/>
          <w:iCs/>
        </w:rPr>
        <w:t xml:space="preserve"> </w:t>
      </w:r>
      <w:r w:rsidRPr="007A377B">
        <w:rPr>
          <w:rFonts w:ascii="Gotham" w:hAnsi="Gotham"/>
          <w:b/>
          <w:bCs/>
          <w:i/>
          <w:iCs/>
        </w:rPr>
        <w:t>Los municipios del Estado regularán su funcionamiento</w:t>
      </w:r>
      <w:r w:rsidRPr="007A377B">
        <w:rPr>
          <w:rFonts w:ascii="Gotham" w:hAnsi="Gotham"/>
          <w:i/>
          <w:iCs/>
        </w:rPr>
        <w:t xml:space="preserve"> de conformidad con lo que establece esta Ley, los Bandos municipales, reglamentos y demás disposiciones legales aplicables.” </w:t>
      </w:r>
      <w:r w:rsidRPr="007A377B">
        <w:rPr>
          <w:rFonts w:ascii="Gotham" w:hAnsi="Gotham"/>
          <w:b/>
          <w:i/>
          <w:iCs/>
        </w:rPr>
        <w:t>(énfasis añadido)</w:t>
      </w:r>
    </w:p>
    <w:p w14:paraId="475660D2" w14:textId="77777777" w:rsidR="00BE5999" w:rsidRPr="007A377B" w:rsidRDefault="00BE5999" w:rsidP="00BE5999">
      <w:pPr>
        <w:spacing w:after="0" w:line="240" w:lineRule="atLeast"/>
        <w:ind w:left="-142" w:right="-232"/>
        <w:jc w:val="both"/>
        <w:rPr>
          <w:rFonts w:ascii="Gotham" w:hAnsi="Gotham"/>
          <w:i/>
          <w:iCs/>
        </w:rPr>
      </w:pPr>
    </w:p>
    <w:p w14:paraId="079CD4B0" w14:textId="77777777" w:rsidR="00BE5999" w:rsidRPr="007A377B" w:rsidRDefault="00BE5999" w:rsidP="00BE5999">
      <w:pPr>
        <w:spacing w:after="0" w:line="240" w:lineRule="atLeast"/>
        <w:ind w:left="-142" w:right="-232"/>
        <w:jc w:val="both"/>
        <w:rPr>
          <w:rFonts w:ascii="Gotham" w:hAnsi="Gotham"/>
          <w:i/>
          <w:iCs/>
        </w:rPr>
      </w:pPr>
      <w:r w:rsidRPr="007A377B">
        <w:rPr>
          <w:rFonts w:ascii="Gotham" w:hAnsi="Gotham"/>
          <w:b/>
          <w:bCs/>
          <w:i/>
          <w:iCs/>
        </w:rPr>
        <w:t>“Artículo 31.-</w:t>
      </w:r>
      <w:r w:rsidRPr="007A377B">
        <w:rPr>
          <w:rFonts w:ascii="Gotham" w:hAnsi="Gotham"/>
          <w:i/>
          <w:iCs/>
        </w:rPr>
        <w:t xml:space="preserve"> Son atribuciones de los ayuntamientos:</w:t>
      </w:r>
    </w:p>
    <w:p w14:paraId="26980B34" w14:textId="77777777" w:rsidR="00BE5999" w:rsidRPr="007A377B" w:rsidRDefault="00BE5999" w:rsidP="00BE5999">
      <w:pPr>
        <w:spacing w:after="0" w:line="240" w:lineRule="atLeast"/>
        <w:ind w:left="-142" w:right="-232"/>
        <w:jc w:val="both"/>
        <w:rPr>
          <w:rFonts w:ascii="Gotham" w:hAnsi="Gotham"/>
          <w:b/>
          <w:bCs/>
          <w:i/>
          <w:iCs/>
        </w:rPr>
      </w:pPr>
    </w:p>
    <w:p w14:paraId="3B513498" w14:textId="77777777" w:rsidR="00BE5999" w:rsidRPr="007A377B" w:rsidRDefault="00BE5999" w:rsidP="00BE5999">
      <w:pPr>
        <w:spacing w:after="0" w:line="240" w:lineRule="atLeast"/>
        <w:ind w:left="-142" w:right="-232"/>
        <w:jc w:val="both"/>
        <w:rPr>
          <w:rFonts w:ascii="Gotham" w:hAnsi="Gotham"/>
          <w:bCs/>
          <w:i/>
          <w:iCs/>
        </w:rPr>
      </w:pPr>
      <w:r w:rsidRPr="007A377B">
        <w:rPr>
          <w:rFonts w:ascii="Gotham" w:hAnsi="Gotham"/>
          <w:b/>
          <w:bCs/>
          <w:i/>
          <w:iCs/>
        </w:rPr>
        <w:t>I.</w:t>
      </w:r>
      <w:r w:rsidRPr="007A377B">
        <w:rPr>
          <w:rFonts w:ascii="Gotham" w:hAnsi="Gotham"/>
          <w:i/>
          <w:iCs/>
        </w:rPr>
        <w:t xml:space="preserve"> Expedir y reformar el Bando Municipal, así como los reglamentos, circulares y disposiciones administrativas de observancia general dentro del territorio del </w:t>
      </w:r>
      <w:r w:rsidRPr="007A377B">
        <w:rPr>
          <w:rFonts w:ascii="Gotham" w:hAnsi="Gotham"/>
          <w:i/>
          <w:iCs/>
        </w:rPr>
        <w:lastRenderedPageBreak/>
        <w:t xml:space="preserve">municipio, que sean necesarios para su organización, prestación de los servicios públicos y, en general, para el cumplimiento de sus atribuciones;” </w:t>
      </w:r>
      <w:r w:rsidRPr="007A377B">
        <w:rPr>
          <w:rFonts w:ascii="Gotham" w:hAnsi="Gotham"/>
          <w:b/>
          <w:i/>
          <w:iCs/>
        </w:rPr>
        <w:t>(énfasis añadido)</w:t>
      </w:r>
    </w:p>
    <w:p w14:paraId="3FC8C4EC" w14:textId="77777777" w:rsidR="00BE5999" w:rsidRPr="007A377B" w:rsidRDefault="00BE5999" w:rsidP="00BE5999">
      <w:pPr>
        <w:spacing w:after="0" w:line="240" w:lineRule="atLeast"/>
        <w:ind w:left="-142" w:right="-232"/>
        <w:jc w:val="both"/>
        <w:rPr>
          <w:rFonts w:ascii="Gotham" w:hAnsi="Gotham"/>
          <w:i/>
          <w:iCs/>
        </w:rPr>
      </w:pPr>
    </w:p>
    <w:p w14:paraId="14376F9F" w14:textId="77777777" w:rsidR="00BE5999" w:rsidRPr="007A377B" w:rsidRDefault="00BE5999" w:rsidP="00BE5999">
      <w:pPr>
        <w:spacing w:after="0" w:line="240" w:lineRule="atLeast"/>
        <w:ind w:left="-142" w:right="-232"/>
        <w:jc w:val="both"/>
        <w:rPr>
          <w:rFonts w:ascii="Gotham" w:hAnsi="Gotham"/>
          <w:i/>
          <w:iCs/>
        </w:rPr>
      </w:pPr>
      <w:r w:rsidRPr="007A377B">
        <w:rPr>
          <w:rFonts w:ascii="Gotham" w:hAnsi="Gotham"/>
          <w:b/>
          <w:bCs/>
          <w:i/>
          <w:iCs/>
        </w:rPr>
        <w:t>“Artículo 48.-</w:t>
      </w:r>
      <w:r w:rsidRPr="007A377B">
        <w:rPr>
          <w:rFonts w:ascii="Gotham" w:hAnsi="Gotham"/>
          <w:i/>
          <w:iCs/>
        </w:rPr>
        <w:t xml:space="preserve"> La persona titular de la presidencia municipal tiene las siguientes atribuciones:</w:t>
      </w:r>
    </w:p>
    <w:p w14:paraId="2DC1F118" w14:textId="77777777" w:rsidR="00BE5999" w:rsidRPr="007A377B" w:rsidRDefault="00BE5999" w:rsidP="00BE5999">
      <w:pPr>
        <w:spacing w:after="0" w:line="240" w:lineRule="atLeast"/>
        <w:ind w:left="-142" w:right="-232"/>
        <w:jc w:val="both"/>
        <w:rPr>
          <w:rFonts w:ascii="Gotham" w:hAnsi="Gotham"/>
          <w:i/>
          <w:iCs/>
        </w:rPr>
      </w:pPr>
    </w:p>
    <w:p w14:paraId="5CDEDE70" w14:textId="77777777" w:rsidR="00BE5999" w:rsidRPr="007A377B" w:rsidRDefault="00BE5999" w:rsidP="00BE5999">
      <w:pPr>
        <w:spacing w:after="0" w:line="240" w:lineRule="atLeast"/>
        <w:ind w:left="-142" w:right="-232"/>
        <w:jc w:val="both"/>
        <w:rPr>
          <w:rFonts w:ascii="Gotham" w:hAnsi="Gotham"/>
          <w:bCs/>
          <w:i/>
          <w:iCs/>
        </w:rPr>
      </w:pPr>
      <w:r w:rsidRPr="007A377B">
        <w:rPr>
          <w:rFonts w:ascii="Gotham" w:hAnsi="Gotham"/>
          <w:b/>
          <w:bCs/>
          <w:i/>
          <w:iCs/>
        </w:rPr>
        <w:t>XII.</w:t>
      </w:r>
      <w:r w:rsidRPr="007A377B">
        <w:rPr>
          <w:rFonts w:ascii="Gotham" w:hAnsi="Gotham"/>
          <w:i/>
          <w:iCs/>
        </w:rPr>
        <w:t xml:space="preserve"> </w:t>
      </w:r>
      <w:r w:rsidRPr="007A377B">
        <w:rPr>
          <w:rFonts w:ascii="Gotham" w:hAnsi="Gotham"/>
          <w:b/>
          <w:bCs/>
          <w:i/>
          <w:iCs/>
        </w:rPr>
        <w:t>Tener bajo su mando los cuerpos de seguridad pública</w:t>
      </w:r>
      <w:r w:rsidRPr="007A377B">
        <w:rPr>
          <w:rFonts w:ascii="Gotham" w:hAnsi="Gotham"/>
          <w:i/>
          <w:iCs/>
        </w:rPr>
        <w:t xml:space="preserve">, tránsito y bomberos municipales, en los términos del capítulo octavo, del título cuarto de esta Ley;” </w:t>
      </w:r>
      <w:r w:rsidRPr="007A377B">
        <w:rPr>
          <w:rFonts w:ascii="Gotham" w:hAnsi="Gotham"/>
          <w:b/>
          <w:i/>
          <w:iCs/>
        </w:rPr>
        <w:t>(énfasis añadido)</w:t>
      </w:r>
    </w:p>
    <w:p w14:paraId="478F186C" w14:textId="77777777" w:rsidR="00BE5999" w:rsidRPr="007A377B" w:rsidRDefault="00BE5999" w:rsidP="00BE5999">
      <w:pPr>
        <w:spacing w:after="0" w:line="240" w:lineRule="atLeast"/>
        <w:ind w:left="-142" w:right="-232"/>
        <w:jc w:val="both"/>
        <w:rPr>
          <w:rFonts w:ascii="Gotham" w:hAnsi="Gotham"/>
          <w:b/>
          <w:bCs/>
          <w:i/>
          <w:iCs/>
        </w:rPr>
      </w:pPr>
    </w:p>
    <w:p w14:paraId="57A8B4A2" w14:textId="77777777" w:rsidR="00BE5999" w:rsidRPr="007A377B" w:rsidRDefault="00BE5999" w:rsidP="00BE5999">
      <w:pPr>
        <w:spacing w:after="0" w:line="240" w:lineRule="atLeast"/>
        <w:ind w:left="-142" w:right="-232"/>
        <w:jc w:val="both"/>
        <w:rPr>
          <w:rFonts w:ascii="Gotham" w:hAnsi="Gotham"/>
          <w:i/>
          <w:iCs/>
        </w:rPr>
      </w:pPr>
      <w:r w:rsidRPr="007A377B">
        <w:rPr>
          <w:rFonts w:ascii="Gotham" w:hAnsi="Gotham"/>
          <w:b/>
          <w:bCs/>
          <w:i/>
          <w:iCs/>
        </w:rPr>
        <w:t>“Artículo 125.-</w:t>
      </w:r>
      <w:r w:rsidRPr="007A377B">
        <w:rPr>
          <w:rFonts w:ascii="Gotham" w:hAnsi="Gotham"/>
          <w:i/>
          <w:iCs/>
        </w:rPr>
        <w:t xml:space="preserve"> Los municipios tendrán a su cargo la </w:t>
      </w:r>
      <w:r w:rsidRPr="007A377B">
        <w:rPr>
          <w:rFonts w:ascii="Gotham" w:hAnsi="Gotham"/>
          <w:b/>
          <w:bCs/>
          <w:i/>
          <w:iCs/>
        </w:rPr>
        <w:t>prestación, explotación, administración y conservación de los servicios públicos municipales,</w:t>
      </w:r>
      <w:r w:rsidRPr="007A377B">
        <w:rPr>
          <w:rFonts w:ascii="Gotham" w:hAnsi="Gotham"/>
          <w:i/>
          <w:iCs/>
        </w:rPr>
        <w:t xml:space="preserve"> considerándose enunciativa y no limitativamente, los siguientes:</w:t>
      </w:r>
    </w:p>
    <w:p w14:paraId="7E269D0A" w14:textId="77777777" w:rsidR="00BE5999" w:rsidRPr="007A377B" w:rsidRDefault="00BE5999" w:rsidP="00BE5999">
      <w:pPr>
        <w:spacing w:after="0" w:line="240" w:lineRule="atLeast"/>
        <w:ind w:left="-142" w:right="-232"/>
        <w:jc w:val="both"/>
        <w:rPr>
          <w:rFonts w:ascii="Gotham" w:hAnsi="Gotham"/>
          <w:i/>
          <w:iCs/>
        </w:rPr>
      </w:pPr>
    </w:p>
    <w:p w14:paraId="7BED21CD" w14:textId="77777777" w:rsidR="00BE5999" w:rsidRPr="007A377B" w:rsidRDefault="00BE5999" w:rsidP="00BE5999">
      <w:pPr>
        <w:spacing w:after="0" w:line="240" w:lineRule="atLeast"/>
        <w:ind w:left="-142" w:right="-232"/>
        <w:jc w:val="both"/>
        <w:rPr>
          <w:rFonts w:ascii="Gotham" w:hAnsi="Gotham"/>
          <w:bCs/>
          <w:i/>
          <w:iCs/>
        </w:rPr>
      </w:pPr>
      <w:r w:rsidRPr="007A377B">
        <w:rPr>
          <w:rFonts w:ascii="Gotham" w:hAnsi="Gotham"/>
          <w:b/>
          <w:bCs/>
          <w:i/>
          <w:iCs/>
        </w:rPr>
        <w:t>VIII.</w:t>
      </w:r>
      <w:r w:rsidRPr="007A377B">
        <w:rPr>
          <w:rFonts w:ascii="Gotham" w:hAnsi="Gotham"/>
          <w:i/>
          <w:iCs/>
        </w:rPr>
        <w:t xml:space="preserve"> </w:t>
      </w:r>
      <w:r w:rsidRPr="007A377B">
        <w:rPr>
          <w:rFonts w:ascii="Gotham" w:hAnsi="Gotham"/>
          <w:b/>
          <w:bCs/>
          <w:i/>
          <w:iCs/>
        </w:rPr>
        <w:t>Seguridad pública y tránsito</w:t>
      </w:r>
      <w:r w:rsidRPr="007A377B">
        <w:rPr>
          <w:rFonts w:ascii="Gotham" w:hAnsi="Gotham"/>
          <w:i/>
          <w:iCs/>
        </w:rPr>
        <w:t xml:space="preserve">;” </w:t>
      </w:r>
      <w:r w:rsidRPr="007A377B">
        <w:rPr>
          <w:rFonts w:ascii="Gotham" w:hAnsi="Gotham"/>
          <w:b/>
          <w:i/>
          <w:iCs/>
        </w:rPr>
        <w:t>(énfasis añadido)</w:t>
      </w:r>
    </w:p>
    <w:p w14:paraId="467CD763" w14:textId="77777777" w:rsidR="00BE5999" w:rsidRPr="007A377B" w:rsidRDefault="00BE5999" w:rsidP="00BE5999">
      <w:pPr>
        <w:spacing w:after="0" w:line="240" w:lineRule="atLeast"/>
        <w:ind w:left="-142" w:right="-232"/>
        <w:jc w:val="both"/>
        <w:rPr>
          <w:rFonts w:ascii="Gotham" w:hAnsi="Gotham"/>
          <w:i/>
          <w:iCs/>
        </w:rPr>
      </w:pPr>
    </w:p>
    <w:p w14:paraId="3E5FCCD4" w14:textId="77777777" w:rsidR="00BE5999" w:rsidRPr="007A377B" w:rsidRDefault="00BE5999" w:rsidP="00BE5999">
      <w:pPr>
        <w:spacing w:after="0" w:line="240" w:lineRule="atLeast"/>
        <w:ind w:left="-142" w:right="-232"/>
        <w:jc w:val="both"/>
        <w:rPr>
          <w:rFonts w:ascii="Gotham" w:hAnsi="Gotham"/>
          <w:i/>
          <w:iCs/>
        </w:rPr>
      </w:pPr>
      <w:r w:rsidRPr="007A377B">
        <w:rPr>
          <w:rFonts w:ascii="Gotham" w:hAnsi="Gotham"/>
          <w:b/>
          <w:bCs/>
          <w:i/>
          <w:iCs/>
        </w:rPr>
        <w:t>“Artículo 126.-</w:t>
      </w:r>
      <w:r w:rsidRPr="007A377B">
        <w:rPr>
          <w:rFonts w:ascii="Gotham" w:hAnsi="Gotham"/>
          <w:i/>
          <w:iCs/>
        </w:rPr>
        <w:t xml:space="preserve"> La prestación de los servicios públicos deberá realizarse por los ayuntamientos, sus unidades administrativas y organismos auxiliares, quienes podrán coordinarse con el Estado o con otros municipios para la eficacia en su prestación. </w:t>
      </w:r>
    </w:p>
    <w:p w14:paraId="7C41AF03" w14:textId="77777777" w:rsidR="00BE5999" w:rsidRPr="007A377B" w:rsidRDefault="00BE5999" w:rsidP="00BE5999">
      <w:pPr>
        <w:spacing w:after="0" w:line="240" w:lineRule="atLeast"/>
        <w:ind w:left="-142" w:right="-232"/>
        <w:jc w:val="both"/>
        <w:rPr>
          <w:rFonts w:ascii="Gotham" w:hAnsi="Gotham"/>
          <w:i/>
          <w:iCs/>
        </w:rPr>
      </w:pPr>
    </w:p>
    <w:p w14:paraId="18D7668B" w14:textId="77777777" w:rsidR="00BE5999" w:rsidRPr="007A377B" w:rsidRDefault="00BE5999" w:rsidP="00BE5999">
      <w:pPr>
        <w:spacing w:after="0" w:line="240" w:lineRule="atLeast"/>
        <w:ind w:left="-142" w:right="-232"/>
        <w:jc w:val="both"/>
        <w:rPr>
          <w:rFonts w:ascii="Gotham" w:hAnsi="Gotham"/>
          <w:bCs/>
          <w:i/>
          <w:iCs/>
        </w:rPr>
      </w:pPr>
      <w:r w:rsidRPr="007A377B">
        <w:rPr>
          <w:rFonts w:ascii="Gotham" w:hAnsi="Gotham"/>
          <w:i/>
          <w:iCs/>
        </w:rPr>
        <w:t xml:space="preserve">Podrá concesionarse a terceros la prestación de servicios públicos municipales, </w:t>
      </w:r>
      <w:r w:rsidRPr="007A377B">
        <w:rPr>
          <w:rFonts w:ascii="Gotham" w:hAnsi="Gotham"/>
          <w:b/>
          <w:bCs/>
          <w:i/>
          <w:iCs/>
        </w:rPr>
        <w:t>a excepción de los de Seguridad Pública y Tránsito</w:t>
      </w:r>
      <w:r w:rsidRPr="007A377B">
        <w:rPr>
          <w:rFonts w:ascii="Gotham" w:hAnsi="Gotham"/>
          <w:i/>
          <w:iCs/>
        </w:rPr>
        <w:t xml:space="preserve">, prefiriéndose en igualdad de circunstancias a vecinos del municipio.” </w:t>
      </w:r>
      <w:r w:rsidRPr="007A377B">
        <w:rPr>
          <w:rFonts w:ascii="Gotham" w:hAnsi="Gotham"/>
          <w:b/>
          <w:i/>
          <w:iCs/>
        </w:rPr>
        <w:t>(énfasis añadido)</w:t>
      </w:r>
    </w:p>
    <w:p w14:paraId="3951E132" w14:textId="77777777" w:rsidR="00BE5999" w:rsidRPr="007A377B" w:rsidRDefault="00BE5999" w:rsidP="00BE5999">
      <w:pPr>
        <w:spacing w:after="0" w:line="240" w:lineRule="atLeast"/>
        <w:ind w:left="-142" w:right="-232"/>
        <w:jc w:val="center"/>
        <w:rPr>
          <w:rFonts w:ascii="Gotham" w:hAnsi="Gotham"/>
          <w:b/>
          <w:bCs/>
          <w:i/>
          <w:iCs/>
        </w:rPr>
      </w:pPr>
    </w:p>
    <w:p w14:paraId="5AD879EA" w14:textId="12C8B845" w:rsidR="00BE5999" w:rsidRPr="007A377B" w:rsidRDefault="00BE5999" w:rsidP="00BE5999">
      <w:pPr>
        <w:spacing w:after="0" w:line="240" w:lineRule="atLeast"/>
        <w:ind w:left="-142" w:right="-232"/>
        <w:jc w:val="center"/>
        <w:rPr>
          <w:rFonts w:ascii="Gotham" w:hAnsi="Gotham"/>
          <w:b/>
          <w:bCs/>
          <w:i/>
          <w:iCs/>
        </w:rPr>
      </w:pPr>
      <w:r w:rsidRPr="007A377B">
        <w:rPr>
          <w:rFonts w:ascii="Gotham" w:hAnsi="Gotham"/>
          <w:b/>
          <w:bCs/>
          <w:i/>
          <w:iCs/>
        </w:rPr>
        <w:t>“CAPITULO OCTAVO</w:t>
      </w:r>
    </w:p>
    <w:p w14:paraId="3DC9EC10" w14:textId="77777777" w:rsidR="00BE5999" w:rsidRPr="007A377B" w:rsidRDefault="00BE5999" w:rsidP="00BE5999">
      <w:pPr>
        <w:spacing w:after="0" w:line="240" w:lineRule="atLeast"/>
        <w:ind w:left="-142" w:right="-232"/>
        <w:jc w:val="center"/>
        <w:rPr>
          <w:rFonts w:ascii="Gotham" w:hAnsi="Gotham"/>
          <w:b/>
          <w:bCs/>
          <w:i/>
          <w:iCs/>
        </w:rPr>
      </w:pPr>
      <w:r w:rsidRPr="007A377B">
        <w:rPr>
          <w:rFonts w:ascii="Gotham" w:hAnsi="Gotham"/>
          <w:b/>
          <w:bCs/>
          <w:i/>
          <w:iCs/>
        </w:rPr>
        <w:t>De los Cuerpos de Seguridad Pública y Tránsito</w:t>
      </w:r>
    </w:p>
    <w:p w14:paraId="0671E46D" w14:textId="77777777" w:rsidR="00BE5999" w:rsidRPr="007A377B" w:rsidRDefault="00BE5999" w:rsidP="00BE5999">
      <w:pPr>
        <w:spacing w:after="0" w:line="240" w:lineRule="atLeast"/>
        <w:ind w:left="-142" w:right="-232"/>
        <w:jc w:val="both"/>
        <w:rPr>
          <w:rFonts w:ascii="Gotham" w:hAnsi="Gotham"/>
          <w:i/>
          <w:iCs/>
        </w:rPr>
      </w:pPr>
    </w:p>
    <w:p w14:paraId="5A54EF6E" w14:textId="6EF69CAA" w:rsidR="00BE5999" w:rsidRPr="007A377B" w:rsidRDefault="00BE5999" w:rsidP="00BE5999">
      <w:pPr>
        <w:spacing w:after="0" w:line="240" w:lineRule="atLeast"/>
        <w:ind w:left="-142" w:right="-232"/>
        <w:jc w:val="both"/>
        <w:rPr>
          <w:rFonts w:ascii="Gotham" w:hAnsi="Gotham"/>
          <w:i/>
          <w:iCs/>
        </w:rPr>
      </w:pPr>
      <w:r w:rsidRPr="007A377B">
        <w:rPr>
          <w:rFonts w:ascii="Gotham" w:hAnsi="Gotham"/>
          <w:b/>
          <w:bCs/>
          <w:i/>
          <w:iCs/>
        </w:rPr>
        <w:t>“Artículo 142.</w:t>
      </w:r>
      <w:r w:rsidRPr="007A377B">
        <w:rPr>
          <w:rFonts w:ascii="Gotham" w:hAnsi="Gotham"/>
          <w:i/>
          <w:iCs/>
        </w:rPr>
        <w:t xml:space="preserve"> Las funciones de seguridad pública del municipio en su respectivo ámbito de </w:t>
      </w:r>
      <w:proofErr w:type="gramStart"/>
      <w:r w:rsidRPr="007A377B">
        <w:rPr>
          <w:rFonts w:ascii="Gotham" w:hAnsi="Gotham"/>
          <w:i/>
          <w:iCs/>
        </w:rPr>
        <w:t>competencia,</w:t>
      </w:r>
      <w:proofErr w:type="gramEnd"/>
      <w:r w:rsidRPr="007A377B">
        <w:rPr>
          <w:rFonts w:ascii="Gotham" w:hAnsi="Gotham"/>
          <w:i/>
          <w:iCs/>
        </w:rPr>
        <w:t xml:space="preserve"> estarán a cargo de un </w:t>
      </w:r>
      <w:r w:rsidRPr="007A377B">
        <w:rPr>
          <w:rFonts w:ascii="Gotham" w:hAnsi="Gotham"/>
          <w:b/>
          <w:bCs/>
          <w:i/>
          <w:iCs/>
        </w:rPr>
        <w:t>Director de Seguridad Pública Municipal o su equivalente</w:t>
      </w:r>
      <w:r w:rsidRPr="007A377B">
        <w:rPr>
          <w:rFonts w:ascii="Gotham" w:hAnsi="Gotham"/>
          <w:i/>
          <w:iCs/>
        </w:rPr>
        <w:t>, el cual deberá ser nombrado en los términos y requisitos establecidos en la Ley de Seguridad del Estado de México.</w:t>
      </w:r>
    </w:p>
    <w:p w14:paraId="077233E5" w14:textId="77777777" w:rsidR="00BE5999" w:rsidRPr="007A377B" w:rsidRDefault="00BE5999" w:rsidP="00BE5999">
      <w:pPr>
        <w:spacing w:after="0" w:line="240" w:lineRule="atLeast"/>
        <w:ind w:left="-142" w:right="-232"/>
        <w:jc w:val="both"/>
        <w:rPr>
          <w:rFonts w:ascii="Gotham" w:hAnsi="Gotham"/>
          <w:i/>
          <w:iCs/>
        </w:rPr>
      </w:pPr>
    </w:p>
    <w:p w14:paraId="3ED20F73" w14:textId="75C6ADAE" w:rsidR="00BE5999" w:rsidRPr="007A377B" w:rsidRDefault="00BE5999" w:rsidP="00BE5999">
      <w:pPr>
        <w:spacing w:after="0" w:line="240" w:lineRule="atLeast"/>
        <w:ind w:left="-142" w:right="-232"/>
        <w:jc w:val="both"/>
        <w:rPr>
          <w:rFonts w:ascii="Gotham" w:hAnsi="Gotham"/>
          <w:bCs/>
          <w:i/>
          <w:iCs/>
        </w:rPr>
      </w:pPr>
      <w:r w:rsidRPr="007A377B">
        <w:rPr>
          <w:rFonts w:ascii="Gotham" w:hAnsi="Gotham"/>
          <w:i/>
          <w:iCs/>
        </w:rPr>
        <w:t xml:space="preserve">En cada municipio se deberán integrar cuerpos de seguridad pública, de búsqueda de personas, de bomberos y, en su caso, de tránsito, estos servidores públicos preferentemente serán vecinos del municipio, de los cuales el presidente municipal será el jefe inmediato.” </w:t>
      </w:r>
      <w:r w:rsidRPr="007A377B">
        <w:rPr>
          <w:rFonts w:ascii="Gotham" w:hAnsi="Gotham"/>
          <w:b/>
          <w:i/>
          <w:iCs/>
        </w:rPr>
        <w:t>(énfasis añadido)</w:t>
      </w:r>
    </w:p>
    <w:p w14:paraId="433D7F01" w14:textId="1BA774EA" w:rsidR="00BE5999" w:rsidRPr="007A377B" w:rsidRDefault="00BE5999" w:rsidP="00BE5999">
      <w:pPr>
        <w:spacing w:after="0" w:line="240" w:lineRule="atLeast"/>
        <w:ind w:left="-142" w:right="-232"/>
        <w:jc w:val="both"/>
        <w:rPr>
          <w:rFonts w:ascii="Gotham" w:hAnsi="Gotham"/>
          <w:i/>
          <w:iCs/>
        </w:rPr>
      </w:pPr>
      <w:r w:rsidRPr="007A377B">
        <w:rPr>
          <w:rFonts w:ascii="Gotham" w:hAnsi="Gotham"/>
          <w:i/>
          <w:iCs/>
        </w:rPr>
        <w:t xml:space="preserve"> </w:t>
      </w:r>
    </w:p>
    <w:p w14:paraId="6201F15C" w14:textId="1B91332F" w:rsidR="00BE5999" w:rsidRPr="007A377B" w:rsidRDefault="00BE5999" w:rsidP="00BE5999">
      <w:pPr>
        <w:spacing w:after="0" w:line="240" w:lineRule="atLeast"/>
        <w:ind w:left="-142" w:right="-232"/>
        <w:jc w:val="both"/>
        <w:rPr>
          <w:rFonts w:ascii="Gotham" w:hAnsi="Gotham"/>
          <w:bCs/>
          <w:i/>
          <w:iCs/>
        </w:rPr>
      </w:pPr>
      <w:r w:rsidRPr="007A377B">
        <w:rPr>
          <w:rFonts w:ascii="Gotham" w:hAnsi="Gotham"/>
          <w:b/>
          <w:bCs/>
          <w:i/>
          <w:iCs/>
        </w:rPr>
        <w:t xml:space="preserve">“Artículo 144 </w:t>
      </w:r>
      <w:proofErr w:type="gramStart"/>
      <w:r w:rsidRPr="007A377B">
        <w:rPr>
          <w:rFonts w:ascii="Gotham" w:hAnsi="Gotham"/>
          <w:b/>
          <w:bCs/>
          <w:i/>
          <w:iCs/>
        </w:rPr>
        <w:t>Quinquies</w:t>
      </w:r>
      <w:r w:rsidRPr="007A377B">
        <w:rPr>
          <w:rFonts w:ascii="Gotham" w:hAnsi="Gotham"/>
          <w:i/>
          <w:iCs/>
        </w:rPr>
        <w:t>.-</w:t>
      </w:r>
      <w:proofErr w:type="gramEnd"/>
      <w:r w:rsidRPr="007A377B">
        <w:rPr>
          <w:rFonts w:ascii="Gotham" w:hAnsi="Gotham"/>
          <w:i/>
          <w:iCs/>
        </w:rPr>
        <w:t xml:space="preserve"> Los municipios en uso de su autonomía hacendaria, podrán convenir con instituciones públicas o privadas, un sistema de ahorro para la obtención de vivienda, a favor de los Bomberos, Protección Civil y de los cuerpos de seguridad pública.”</w:t>
      </w:r>
      <w:r w:rsidRPr="007A377B">
        <w:rPr>
          <w:rFonts w:ascii="Gotham" w:hAnsi="Gotham"/>
          <w:b/>
          <w:i/>
          <w:iCs/>
        </w:rPr>
        <w:t xml:space="preserve"> (énfasis añadido)</w:t>
      </w:r>
    </w:p>
    <w:p w14:paraId="7B968629" w14:textId="77777777" w:rsidR="00BE5999" w:rsidRPr="007A377B" w:rsidRDefault="00BE5999" w:rsidP="00BE5999">
      <w:pPr>
        <w:spacing w:after="0" w:line="240" w:lineRule="atLeast"/>
        <w:ind w:left="-142" w:right="-232"/>
        <w:jc w:val="both"/>
        <w:rPr>
          <w:rFonts w:ascii="Gotham" w:hAnsi="Gotham"/>
          <w:bCs/>
          <w:i/>
          <w:iCs/>
        </w:rPr>
      </w:pPr>
    </w:p>
    <w:p w14:paraId="6C532FEE" w14:textId="77777777" w:rsidR="001F05CA" w:rsidRPr="007A377B" w:rsidRDefault="001F05CA" w:rsidP="00BE5999">
      <w:pPr>
        <w:spacing w:after="0" w:line="240" w:lineRule="atLeast"/>
        <w:ind w:left="-142" w:right="-232"/>
        <w:jc w:val="both"/>
        <w:rPr>
          <w:rFonts w:ascii="Gotham" w:hAnsi="Gotham"/>
          <w:b/>
          <w:bCs/>
          <w:iCs/>
        </w:rPr>
      </w:pPr>
      <w:r w:rsidRPr="007A377B">
        <w:rPr>
          <w:rFonts w:ascii="Gotham" w:hAnsi="Gotham"/>
          <w:b/>
          <w:bCs/>
          <w:iCs/>
        </w:rPr>
        <w:t>Orientación:</w:t>
      </w:r>
    </w:p>
    <w:p w14:paraId="4E62B69F" w14:textId="77777777" w:rsidR="001F05CA" w:rsidRPr="007A377B" w:rsidRDefault="001F05CA" w:rsidP="00BE5999">
      <w:pPr>
        <w:spacing w:after="0" w:line="240" w:lineRule="atLeast"/>
        <w:ind w:left="-142" w:right="-232"/>
        <w:jc w:val="both"/>
        <w:rPr>
          <w:rFonts w:ascii="Gotham" w:hAnsi="Gotham"/>
          <w:bCs/>
          <w:iCs/>
        </w:rPr>
      </w:pPr>
    </w:p>
    <w:p w14:paraId="3C04D797" w14:textId="0A9EAC29" w:rsidR="001F05CA" w:rsidRPr="007A377B" w:rsidRDefault="001F05CA" w:rsidP="00BE5999">
      <w:pPr>
        <w:spacing w:after="0" w:line="240" w:lineRule="atLeast"/>
        <w:ind w:left="-142" w:right="-232"/>
        <w:jc w:val="both"/>
        <w:rPr>
          <w:rFonts w:ascii="Gotham" w:hAnsi="Gotham"/>
          <w:bCs/>
          <w:iCs/>
        </w:rPr>
      </w:pPr>
      <w:r w:rsidRPr="007A377B">
        <w:rPr>
          <w:rFonts w:ascii="Gotham" w:hAnsi="Gotham"/>
          <w:bCs/>
          <w:iCs/>
        </w:rPr>
        <w:t xml:space="preserve">Se le orienta en el sentido de que la información señalada pudiere ser proporcionada por la </w:t>
      </w:r>
      <w:r w:rsidRPr="007A377B">
        <w:rPr>
          <w:rFonts w:ascii="Gotham" w:hAnsi="Gotham"/>
          <w:b/>
        </w:rPr>
        <w:t xml:space="preserve">Secretaría de Seguridad del Estado de México, </w:t>
      </w:r>
      <w:r w:rsidR="00BE5999" w:rsidRPr="007A377B">
        <w:rPr>
          <w:rFonts w:ascii="Gotham" w:hAnsi="Gotham"/>
          <w:b/>
        </w:rPr>
        <w:t xml:space="preserve">y/o el </w:t>
      </w:r>
      <w:r w:rsidR="00BE5999" w:rsidRPr="007A377B">
        <w:rPr>
          <w:rFonts w:ascii="Gotham" w:hAnsi="Gotham"/>
          <w:b/>
          <w:bCs/>
          <w:iCs/>
        </w:rPr>
        <w:t>Municipio de su interés</w:t>
      </w:r>
      <w:r w:rsidR="00BE5999" w:rsidRPr="007A377B">
        <w:rPr>
          <w:rFonts w:ascii="Gotham" w:hAnsi="Gotham"/>
          <w:bCs/>
          <w:iCs/>
        </w:rPr>
        <w:t xml:space="preserve">, </w:t>
      </w:r>
      <w:r w:rsidRPr="007A377B">
        <w:rPr>
          <w:rFonts w:ascii="Gotham" w:hAnsi="Gotham"/>
          <w:bCs/>
        </w:rPr>
        <w:t>por lo que de manera respetuosa se sugiere ingrese su solicitud</w:t>
      </w:r>
      <w:r w:rsidRPr="007A377B">
        <w:rPr>
          <w:rFonts w:ascii="Gotham" w:hAnsi="Gotham"/>
          <w:bCs/>
          <w:iCs/>
        </w:rPr>
        <w:t>:</w:t>
      </w:r>
    </w:p>
    <w:p w14:paraId="20CF8FED" w14:textId="77777777" w:rsidR="001F05CA" w:rsidRPr="007A377B" w:rsidRDefault="001F05CA" w:rsidP="00BE5999">
      <w:pPr>
        <w:spacing w:after="0" w:line="240" w:lineRule="atLeast"/>
        <w:ind w:left="-142" w:right="-232"/>
        <w:jc w:val="both"/>
        <w:rPr>
          <w:rFonts w:ascii="Gotham" w:hAnsi="Gotham"/>
          <w:bCs/>
          <w:iCs/>
        </w:rPr>
      </w:pPr>
    </w:p>
    <w:p w14:paraId="55D1494B" w14:textId="77777777" w:rsidR="001F05CA" w:rsidRPr="007A377B" w:rsidRDefault="001F05CA" w:rsidP="00BE5999">
      <w:pPr>
        <w:pStyle w:val="Prrafodelista"/>
        <w:numPr>
          <w:ilvl w:val="0"/>
          <w:numId w:val="4"/>
        </w:numPr>
        <w:spacing w:after="0" w:line="240" w:lineRule="atLeast"/>
        <w:ind w:right="-232"/>
        <w:jc w:val="both"/>
        <w:rPr>
          <w:rFonts w:ascii="Gotham" w:hAnsi="Gotham"/>
          <w:bCs/>
          <w:iCs/>
        </w:rPr>
      </w:pPr>
      <w:r w:rsidRPr="007A377B">
        <w:rPr>
          <w:rFonts w:ascii="Gotham" w:hAnsi="Gotham"/>
          <w:bCs/>
          <w:iCs/>
        </w:rPr>
        <w:t xml:space="preserve">De manera electrónica a través de la Plataforma Nacional de Transparencia o SAIMEX, o de manera personal ante la Unidad de Transparencia de la </w:t>
      </w:r>
      <w:r w:rsidRPr="007A377B">
        <w:rPr>
          <w:rFonts w:ascii="Gotham" w:hAnsi="Gotham"/>
          <w:b/>
          <w:bCs/>
          <w:iCs/>
        </w:rPr>
        <w:t>Secretaría de Seguridad del Estado de México</w:t>
      </w:r>
      <w:r w:rsidRPr="007A377B">
        <w:rPr>
          <w:rFonts w:ascii="Gotham" w:hAnsi="Gotham"/>
          <w:bCs/>
          <w:iCs/>
        </w:rPr>
        <w:t xml:space="preserve">, ubicada en Avenida 28 de </w:t>
      </w:r>
      <w:r w:rsidRPr="007A377B">
        <w:rPr>
          <w:rFonts w:ascii="Gotham" w:hAnsi="Gotham"/>
          <w:bCs/>
          <w:iCs/>
        </w:rPr>
        <w:lastRenderedPageBreak/>
        <w:t xml:space="preserve">Octubre sin número, Colonia Vértice, Código Postal 50090, Toluca, México, teléfono 722 279 6200 extensiones 4108 y 4280, en un horario de atención de lunes a viernes de 09:00 a 18:00 horas en días hábiles, y correo electrónico oficial: </w:t>
      </w:r>
      <w:hyperlink r:id="rId7" w:history="1">
        <w:r w:rsidRPr="007A377B">
          <w:rPr>
            <w:rStyle w:val="Hipervnculo"/>
            <w:rFonts w:ascii="Gotham" w:hAnsi="Gotham"/>
            <w:bCs/>
          </w:rPr>
          <w:t>ssem@itaipem.org.mx</w:t>
        </w:r>
      </w:hyperlink>
    </w:p>
    <w:p w14:paraId="7070BFC1" w14:textId="77777777" w:rsidR="00BE5999" w:rsidRPr="007A377B" w:rsidRDefault="00BE5999" w:rsidP="00BE5999">
      <w:pPr>
        <w:spacing w:after="0" w:line="240" w:lineRule="atLeast"/>
        <w:ind w:left="-142" w:right="-232"/>
        <w:jc w:val="both"/>
        <w:rPr>
          <w:rFonts w:ascii="Gotham" w:hAnsi="Gotham"/>
          <w:bCs/>
        </w:rPr>
      </w:pPr>
    </w:p>
    <w:p w14:paraId="0D0BE6BC" w14:textId="04DEAA1F" w:rsidR="00BE5999" w:rsidRPr="007A377B" w:rsidRDefault="00BE5999" w:rsidP="00BE5999">
      <w:pPr>
        <w:pStyle w:val="Prrafodelista"/>
        <w:numPr>
          <w:ilvl w:val="0"/>
          <w:numId w:val="4"/>
        </w:numPr>
        <w:spacing w:after="0" w:line="240" w:lineRule="atLeast"/>
        <w:ind w:right="-232"/>
        <w:jc w:val="both"/>
        <w:rPr>
          <w:rFonts w:ascii="Gotham" w:hAnsi="Gotham"/>
          <w:bCs/>
        </w:rPr>
      </w:pPr>
      <w:r w:rsidRPr="007A377B">
        <w:rPr>
          <w:rFonts w:ascii="Gotham" w:hAnsi="Gotham"/>
          <w:bCs/>
          <w:iCs/>
        </w:rPr>
        <w:t xml:space="preserve">Vía Plataforma Nacional de Transparencia o SAIMEX, y de manera personal ante la Unidad de Transparencia </w:t>
      </w:r>
      <w:r w:rsidRPr="007A377B">
        <w:rPr>
          <w:rFonts w:ascii="Gotham" w:hAnsi="Gotham"/>
          <w:b/>
          <w:bCs/>
          <w:iCs/>
        </w:rPr>
        <w:t>Municipio de su interés</w:t>
      </w:r>
      <w:r w:rsidRPr="007A377B">
        <w:rPr>
          <w:rFonts w:ascii="Gotham" w:hAnsi="Gotham"/>
          <w:bCs/>
          <w:iCs/>
        </w:rPr>
        <w:t>.</w:t>
      </w:r>
    </w:p>
    <w:p w14:paraId="36DF9285" w14:textId="77777777" w:rsidR="00BE5999" w:rsidRPr="007A377B" w:rsidRDefault="00BE5999" w:rsidP="00BE5999">
      <w:pPr>
        <w:spacing w:after="0" w:line="240" w:lineRule="atLeast"/>
        <w:ind w:left="-142" w:right="-232"/>
        <w:jc w:val="both"/>
        <w:rPr>
          <w:rFonts w:ascii="Gotham" w:hAnsi="Gotham"/>
          <w:bCs/>
        </w:rPr>
      </w:pPr>
    </w:p>
    <w:p w14:paraId="62F01876" w14:textId="3A04C618" w:rsidR="001F05CA" w:rsidRPr="007A377B" w:rsidRDefault="001F05CA" w:rsidP="00BE5999">
      <w:pPr>
        <w:spacing w:after="0" w:line="240" w:lineRule="atLeast"/>
        <w:ind w:left="-142" w:right="-232"/>
        <w:jc w:val="both"/>
        <w:rPr>
          <w:rFonts w:ascii="Gotham" w:hAnsi="Gotham"/>
          <w:bCs/>
        </w:rPr>
      </w:pPr>
      <w:r w:rsidRPr="007A377B">
        <w:rPr>
          <w:rFonts w:ascii="Gotham" w:hAnsi="Gotham"/>
          <w:bCs/>
        </w:rPr>
        <w:t>Sin otro particular, reciba un cordial saludo.</w:t>
      </w:r>
    </w:p>
    <w:p w14:paraId="2FE75B9B" w14:textId="77777777" w:rsidR="001F05CA" w:rsidRPr="007A377B" w:rsidRDefault="001F05CA" w:rsidP="00BE5999">
      <w:pPr>
        <w:spacing w:after="0" w:line="240" w:lineRule="atLeast"/>
        <w:ind w:left="-142" w:right="-232"/>
        <w:rPr>
          <w:rFonts w:ascii="Gotham Bold" w:hAnsi="Gotham Bold"/>
          <w:bCs/>
        </w:rPr>
      </w:pPr>
    </w:p>
    <w:p w14:paraId="59B222FF" w14:textId="77777777" w:rsidR="001F05CA" w:rsidRPr="007A377B" w:rsidRDefault="001F05CA" w:rsidP="00BE5999">
      <w:pPr>
        <w:spacing w:after="0" w:line="240" w:lineRule="atLeast"/>
        <w:ind w:left="-142" w:right="-232"/>
        <w:rPr>
          <w:rFonts w:ascii="Gotham Bold" w:hAnsi="Gotham Bold"/>
          <w:bCs/>
        </w:rPr>
      </w:pPr>
    </w:p>
    <w:p w14:paraId="21F57ABD" w14:textId="77777777" w:rsidR="001F05CA" w:rsidRPr="007A377B" w:rsidRDefault="001F05CA" w:rsidP="00BE5999">
      <w:pPr>
        <w:spacing w:after="0" w:line="240" w:lineRule="atLeast"/>
        <w:ind w:left="-142" w:right="-232"/>
        <w:rPr>
          <w:rFonts w:ascii="Gotham Bold" w:hAnsi="Gotham Bold"/>
          <w:bCs/>
        </w:rPr>
      </w:pPr>
      <w:r w:rsidRPr="007A377B">
        <w:rPr>
          <w:rFonts w:ascii="Gotham Bold" w:hAnsi="Gotham Bold"/>
          <w:bCs/>
        </w:rPr>
        <w:t>ATENTAMENTE</w:t>
      </w:r>
    </w:p>
    <w:p w14:paraId="61725FED" w14:textId="77777777" w:rsidR="001F05CA" w:rsidRPr="007A377B" w:rsidRDefault="001F05CA" w:rsidP="00BE5999">
      <w:pPr>
        <w:spacing w:after="0" w:line="240" w:lineRule="atLeast"/>
        <w:ind w:left="-142" w:right="-232"/>
        <w:rPr>
          <w:rFonts w:ascii="Gotham Bold" w:hAnsi="Gotham Bold"/>
          <w:bCs/>
        </w:rPr>
      </w:pPr>
    </w:p>
    <w:p w14:paraId="7BD6FAEF" w14:textId="77777777" w:rsidR="001F05CA" w:rsidRPr="007A377B" w:rsidRDefault="001F05CA" w:rsidP="00BE5999">
      <w:pPr>
        <w:spacing w:after="0" w:line="240" w:lineRule="atLeast"/>
        <w:ind w:left="-142" w:right="-232"/>
        <w:rPr>
          <w:rFonts w:ascii="Gotham Bold" w:hAnsi="Gotham Bold"/>
          <w:bCs/>
        </w:rPr>
      </w:pPr>
    </w:p>
    <w:p w14:paraId="01659BFD" w14:textId="77777777" w:rsidR="001F05CA" w:rsidRPr="007A377B" w:rsidRDefault="001F05CA" w:rsidP="00BE5999">
      <w:pPr>
        <w:spacing w:after="0" w:line="240" w:lineRule="atLeast"/>
        <w:ind w:left="-142" w:right="-232"/>
        <w:rPr>
          <w:rFonts w:ascii="Gotham Bold" w:hAnsi="Gotham Bold"/>
          <w:bCs/>
        </w:rPr>
      </w:pPr>
    </w:p>
    <w:p w14:paraId="321DE173" w14:textId="77777777" w:rsidR="001F05CA" w:rsidRPr="007A377B" w:rsidRDefault="001F05CA" w:rsidP="00BE5999">
      <w:pPr>
        <w:spacing w:after="0" w:line="240" w:lineRule="atLeast"/>
        <w:ind w:left="-142" w:right="-232"/>
        <w:rPr>
          <w:rFonts w:ascii="Gotham Bold" w:hAnsi="Gotham Bold"/>
          <w:bCs/>
        </w:rPr>
      </w:pPr>
    </w:p>
    <w:p w14:paraId="3F5EB685" w14:textId="77777777" w:rsidR="001F05CA" w:rsidRPr="007A377B" w:rsidRDefault="001F05CA" w:rsidP="00BE5999">
      <w:pPr>
        <w:spacing w:after="0" w:line="240" w:lineRule="atLeast"/>
        <w:ind w:left="-142" w:right="-232"/>
        <w:rPr>
          <w:rFonts w:ascii="Gotham Bold" w:hAnsi="Gotham Bold"/>
          <w:bCs/>
        </w:rPr>
      </w:pPr>
    </w:p>
    <w:p w14:paraId="2F8CE512" w14:textId="77777777" w:rsidR="001F05CA" w:rsidRPr="007A377B" w:rsidRDefault="001F05CA" w:rsidP="00BE5999">
      <w:pPr>
        <w:spacing w:after="0" w:line="240" w:lineRule="atLeast"/>
        <w:ind w:left="-142" w:right="-232"/>
        <w:rPr>
          <w:rFonts w:ascii="Gotham Bold" w:hAnsi="Gotham Bold"/>
          <w:bCs/>
        </w:rPr>
      </w:pPr>
    </w:p>
    <w:p w14:paraId="4B3CB01E" w14:textId="77777777" w:rsidR="001F05CA" w:rsidRPr="007A377B" w:rsidRDefault="001F05CA" w:rsidP="00BE5999">
      <w:pPr>
        <w:spacing w:after="0" w:line="240" w:lineRule="auto"/>
        <w:ind w:left="-142" w:right="-232"/>
        <w:rPr>
          <w:rFonts w:ascii="Gotham Bold" w:hAnsi="Gotham Bold"/>
          <w:b/>
          <w:bCs/>
        </w:rPr>
      </w:pPr>
      <w:r w:rsidRPr="007A377B">
        <w:rPr>
          <w:rFonts w:ascii="Gotham Bold" w:hAnsi="Gotham Bold"/>
          <w:b/>
          <w:bCs/>
        </w:rPr>
        <w:t>DR. JOSÉ ANTONIO HERNÁNDEZ SALINAS</w:t>
      </w:r>
    </w:p>
    <w:p w14:paraId="723D3ACC" w14:textId="77777777" w:rsidR="001F05CA" w:rsidRPr="007A377B" w:rsidRDefault="001F05CA" w:rsidP="00BE5999">
      <w:pPr>
        <w:spacing w:after="0" w:line="240" w:lineRule="auto"/>
        <w:ind w:left="-142" w:right="-232"/>
        <w:rPr>
          <w:rFonts w:ascii="Gotham Bold" w:hAnsi="Gotham Bold"/>
          <w:b/>
          <w:bCs/>
        </w:rPr>
      </w:pPr>
      <w:r w:rsidRPr="007A377B">
        <w:rPr>
          <w:rFonts w:ascii="Gotham Bold" w:hAnsi="Gotham Bold"/>
          <w:b/>
          <w:bCs/>
        </w:rPr>
        <w:t>TITULAR DE LA UNIDAD DE TRANSPARENCIA DEL SECRETARIADO</w:t>
      </w:r>
    </w:p>
    <w:p w14:paraId="3205A463" w14:textId="77777777" w:rsidR="001F05CA" w:rsidRPr="007A377B" w:rsidRDefault="001F05CA" w:rsidP="00BE5999">
      <w:pPr>
        <w:spacing w:after="0" w:line="240" w:lineRule="auto"/>
        <w:ind w:left="-142" w:right="-232"/>
        <w:rPr>
          <w:rFonts w:ascii="Gotham Bold" w:hAnsi="Gotham Bold"/>
          <w:b/>
          <w:bCs/>
        </w:rPr>
      </w:pPr>
      <w:r w:rsidRPr="007A377B">
        <w:rPr>
          <w:rFonts w:ascii="Gotham Bold" w:hAnsi="Gotham Bold"/>
          <w:b/>
          <w:bCs/>
        </w:rPr>
        <w:t>EJECUTIVO DEL SISTEMA ESTATAL DE SEGURIDAD PÚBLICA</w:t>
      </w:r>
    </w:p>
    <w:p w14:paraId="1D80429C" w14:textId="77777777" w:rsidR="001F05CA" w:rsidRPr="001E0307" w:rsidRDefault="001F05CA" w:rsidP="00BE5999">
      <w:pPr>
        <w:spacing w:after="0" w:line="240" w:lineRule="auto"/>
        <w:ind w:left="-142" w:right="-232"/>
        <w:rPr>
          <w:sz w:val="12"/>
          <w:szCs w:val="12"/>
        </w:rPr>
      </w:pPr>
      <w:r w:rsidRPr="001E0307">
        <w:rPr>
          <w:rFonts w:ascii="Gotham Bold" w:eastAsia="Times New Roman" w:hAnsi="Gotham Bold" w:cs="Times New Roman"/>
          <w:color w:val="000000" w:themeColor="text1"/>
          <w:sz w:val="12"/>
          <w:szCs w:val="12"/>
        </w:rPr>
        <w:t xml:space="preserve">Elaboró. </w:t>
      </w:r>
      <w:r w:rsidRPr="001E0307">
        <w:rPr>
          <w:rFonts w:ascii="Gotham Bold" w:eastAsia="Times New Roman" w:hAnsi="Gotham Bold" w:cs="Times New Roman"/>
          <w:color w:val="000000" w:themeColor="text1"/>
          <w:sz w:val="12"/>
          <w:szCs w:val="12"/>
          <w:lang w:val="en-US"/>
        </w:rPr>
        <w:t>ALCM</w:t>
      </w:r>
    </w:p>
    <w:p w14:paraId="5C880993" w14:textId="77777777" w:rsidR="001F05CA" w:rsidRPr="007A377B" w:rsidRDefault="001F05CA" w:rsidP="00BE5999">
      <w:pPr>
        <w:spacing w:after="0" w:line="240" w:lineRule="atLeast"/>
        <w:ind w:left="-142" w:right="-232"/>
      </w:pPr>
    </w:p>
    <w:p w14:paraId="69E4415D" w14:textId="77777777" w:rsidR="001F05CA" w:rsidRPr="007A377B" w:rsidRDefault="001F05CA" w:rsidP="00BE5999">
      <w:pPr>
        <w:ind w:left="-142" w:right="-232"/>
      </w:pPr>
    </w:p>
    <w:p w14:paraId="74AC7B60" w14:textId="77777777" w:rsidR="001F05CA" w:rsidRPr="007A377B" w:rsidRDefault="001F05CA" w:rsidP="00BE5999">
      <w:pPr>
        <w:ind w:left="-142" w:right="-232"/>
      </w:pPr>
    </w:p>
    <w:p w14:paraId="180615FA" w14:textId="77777777" w:rsidR="001F05CA" w:rsidRPr="007A377B" w:rsidRDefault="001F05CA" w:rsidP="00BE5999">
      <w:pPr>
        <w:ind w:left="-142" w:right="-232"/>
      </w:pPr>
    </w:p>
    <w:p w14:paraId="3C85D44A" w14:textId="77777777" w:rsidR="001F05CA" w:rsidRPr="007A377B" w:rsidRDefault="001F05CA" w:rsidP="00BE5999">
      <w:pPr>
        <w:ind w:left="-142" w:right="-232"/>
      </w:pPr>
    </w:p>
    <w:p w14:paraId="752DE4C2" w14:textId="77777777" w:rsidR="001F05CA" w:rsidRPr="007A377B" w:rsidRDefault="001F05CA" w:rsidP="00BE5999">
      <w:pPr>
        <w:ind w:left="-142" w:right="-232"/>
      </w:pPr>
    </w:p>
    <w:p w14:paraId="173E9865" w14:textId="77777777" w:rsidR="001F05CA" w:rsidRPr="007A377B" w:rsidRDefault="001F05CA" w:rsidP="00BE5999">
      <w:pPr>
        <w:ind w:left="-142" w:right="-232"/>
      </w:pPr>
    </w:p>
    <w:sectPr w:rsidR="001F05CA" w:rsidRPr="007A377B" w:rsidSect="00BE5999">
      <w:headerReference w:type="even" r:id="rId8"/>
      <w:headerReference w:type="default" r:id="rId9"/>
      <w:footerReference w:type="even" r:id="rId10"/>
      <w:footerReference w:type="default" r:id="rId11"/>
      <w:headerReference w:type="first" r:id="rId12"/>
      <w:footerReference w:type="first" r:id="rId13"/>
      <w:pgSz w:w="12242" w:h="15842" w:code="119"/>
      <w:pgMar w:top="2127" w:right="1701" w:bottom="1418" w:left="1701"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073D4A" w14:textId="77777777" w:rsidR="007B0353" w:rsidRDefault="007B0353">
      <w:pPr>
        <w:spacing w:after="0" w:line="240" w:lineRule="auto"/>
      </w:pPr>
      <w:r>
        <w:separator/>
      </w:r>
    </w:p>
  </w:endnote>
  <w:endnote w:type="continuationSeparator" w:id="0">
    <w:p w14:paraId="6EF9D081" w14:textId="77777777" w:rsidR="007B0353" w:rsidRDefault="007B0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otham Bold">
    <w:panose1 w:val="00000000000000000000"/>
    <w:charset w:val="00"/>
    <w:family w:val="modern"/>
    <w:notTrueType/>
    <w:pitch w:val="variable"/>
    <w:sig w:usb0="A00000FF" w:usb1="4000004A" w:usb2="00000000" w:usb3="00000000" w:csb0="0000000B" w:csb1="00000000"/>
  </w:font>
  <w:font w:name="Montserrat SemiBold">
    <w:panose1 w:val="00000000000000000000"/>
    <w:charset w:val="00"/>
    <w:family w:val="auto"/>
    <w:pitch w:val="variable"/>
    <w:sig w:usb0="A00002FF" w:usb1="4000207B" w:usb2="00000000" w:usb3="00000000" w:csb0="00000197" w:csb1="00000000"/>
  </w:font>
  <w:font w:name="Gotham">
    <w:panose1 w:val="02000504050000020004"/>
    <w:charset w:val="00"/>
    <w:family w:val="auto"/>
    <w:pitch w:val="variable"/>
    <w:sig w:usb0="800000A7"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52678" w14:textId="77777777" w:rsidR="005F10F3" w:rsidRDefault="005F10F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AD396" w14:textId="77777777" w:rsidR="004F612F" w:rsidRDefault="004F612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992572" w14:textId="77777777" w:rsidR="005F10F3" w:rsidRDefault="005F10F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54C336" w14:textId="77777777" w:rsidR="007B0353" w:rsidRDefault="007B0353">
      <w:pPr>
        <w:spacing w:after="0" w:line="240" w:lineRule="auto"/>
      </w:pPr>
      <w:r>
        <w:separator/>
      </w:r>
    </w:p>
  </w:footnote>
  <w:footnote w:type="continuationSeparator" w:id="0">
    <w:p w14:paraId="30A2E01B" w14:textId="77777777" w:rsidR="007B0353" w:rsidRDefault="007B03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F0FEF" w14:textId="77777777" w:rsidR="005F10F3" w:rsidRDefault="005F10F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C8510" w14:textId="43BEDB1B" w:rsidR="004F612F" w:rsidRDefault="00000000">
    <w:pPr>
      <w:pStyle w:val="Encabezado"/>
    </w:pPr>
    <w:sdt>
      <w:sdtPr>
        <w:id w:val="-902211317"/>
        <w:docPartObj>
          <w:docPartGallery w:val="Page Numbers (Margins)"/>
          <w:docPartUnique/>
        </w:docPartObj>
      </w:sdtPr>
      <w:sdtContent>
        <w:r>
          <w:rPr>
            <w:noProof/>
          </w:rPr>
          <mc:AlternateContent>
            <mc:Choice Requires="wps">
              <w:drawing>
                <wp:anchor distT="0" distB="0" distL="114300" distR="114300" simplePos="0" relativeHeight="251664384" behindDoc="0" locked="0" layoutInCell="0" allowOverlap="1" wp14:anchorId="10BDAEE6" wp14:editId="57EB7662">
                  <wp:simplePos x="0" y="0"/>
                  <wp:positionH relativeFrom="rightMargin">
                    <wp:align>center</wp:align>
                  </wp:positionH>
                  <wp:positionV relativeFrom="margin">
                    <wp:align>bottom</wp:align>
                  </wp:positionV>
                  <wp:extent cx="510540" cy="2183130"/>
                  <wp:effectExtent l="0" t="0" r="3810" b="0"/>
                  <wp:wrapNone/>
                  <wp:docPr id="1891626134"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ADEA6C" w14:textId="77777777" w:rsidR="004F612F"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0BDAEE6" id="Rectángulo 1" o:spid="_x0000_s1026" style="position:absolute;margin-left:0;margin-top:0;width:40.2pt;height:171.9pt;z-index:25166438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7CADEA6C" w14:textId="77777777" w:rsidR="00000000"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9D9200" w14:textId="77777777" w:rsidR="005F10F3" w:rsidRDefault="005F10F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46D7B"/>
    <w:multiLevelType w:val="hybridMultilevel"/>
    <w:tmpl w:val="B85C3A88"/>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1" w15:restartNumberingAfterBreak="0">
    <w:nsid w:val="1C6339C6"/>
    <w:multiLevelType w:val="hybridMultilevel"/>
    <w:tmpl w:val="F9C6CD14"/>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2" w15:restartNumberingAfterBreak="0">
    <w:nsid w:val="57D66D76"/>
    <w:multiLevelType w:val="hybridMultilevel"/>
    <w:tmpl w:val="28C6B09A"/>
    <w:lvl w:ilvl="0" w:tplc="080A0001">
      <w:start w:val="1"/>
      <w:numFmt w:val="bullet"/>
      <w:lvlText w:val=""/>
      <w:lvlJc w:val="left"/>
      <w:pPr>
        <w:ind w:left="578" w:hanging="360"/>
      </w:pPr>
      <w:rPr>
        <w:rFonts w:ascii="Symbol" w:hAnsi="Symbol" w:hint="default"/>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B5353BA"/>
    <w:multiLevelType w:val="hybridMultilevel"/>
    <w:tmpl w:val="FCB8EA7C"/>
    <w:lvl w:ilvl="0" w:tplc="39DE60EE">
      <w:start w:val="1"/>
      <w:numFmt w:val="bullet"/>
      <w:lvlText w:val=""/>
      <w:lvlJc w:val="left"/>
      <w:pPr>
        <w:ind w:left="720" w:hanging="360"/>
      </w:pPr>
      <w:rPr>
        <w:rFonts w:ascii="Symbol" w:hAnsi="Symbol" w:hint="default"/>
        <w:color w:val="auto"/>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335917068">
    <w:abstractNumId w:val="0"/>
  </w:num>
  <w:num w:numId="2" w16cid:durableId="562831238">
    <w:abstractNumId w:val="1"/>
  </w:num>
  <w:num w:numId="3" w16cid:durableId="273027373">
    <w:abstractNumId w:val="3"/>
  </w:num>
  <w:num w:numId="4" w16cid:durableId="11367967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5CA"/>
    <w:rsid w:val="00153040"/>
    <w:rsid w:val="001B2EA8"/>
    <w:rsid w:val="001E0307"/>
    <w:rsid w:val="001F05CA"/>
    <w:rsid w:val="00274714"/>
    <w:rsid w:val="004F612F"/>
    <w:rsid w:val="005F10F3"/>
    <w:rsid w:val="007A377B"/>
    <w:rsid w:val="007B0353"/>
    <w:rsid w:val="00AA1ADE"/>
    <w:rsid w:val="00BE5999"/>
    <w:rsid w:val="00C7323F"/>
    <w:rsid w:val="00CA474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FA88BD"/>
  <w15:chartTrackingRefBased/>
  <w15:docId w15:val="{398B73A7-41A3-4FBA-95B0-425077223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05CA"/>
    <w:pPr>
      <w:spacing w:line="259" w:lineRule="auto"/>
    </w:pPr>
    <w:rPr>
      <w:kern w:val="0"/>
      <w:sz w:val="22"/>
      <w:szCs w:val="22"/>
    </w:rPr>
  </w:style>
  <w:style w:type="paragraph" w:styleId="Ttulo1">
    <w:name w:val="heading 1"/>
    <w:basedOn w:val="Normal"/>
    <w:next w:val="Normal"/>
    <w:link w:val="Ttulo1Car"/>
    <w:uiPriority w:val="9"/>
    <w:qFormat/>
    <w:rsid w:val="001F05C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1F05C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1F05C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1F05C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1F05C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1F05C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1F05C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1F05C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1F05CA"/>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F05C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1F05C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1F05C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1F05C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1F05C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1F05C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1F05C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1F05C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1F05CA"/>
    <w:rPr>
      <w:rFonts w:eastAsiaTheme="majorEastAsia" w:cstheme="majorBidi"/>
      <w:color w:val="272727" w:themeColor="text1" w:themeTint="D8"/>
    </w:rPr>
  </w:style>
  <w:style w:type="paragraph" w:styleId="Ttulo">
    <w:name w:val="Title"/>
    <w:basedOn w:val="Normal"/>
    <w:next w:val="Normal"/>
    <w:link w:val="TtuloCar"/>
    <w:uiPriority w:val="10"/>
    <w:qFormat/>
    <w:rsid w:val="001F05C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1F05C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1F05C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1F05C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1F05CA"/>
    <w:pPr>
      <w:spacing w:before="160"/>
      <w:jc w:val="center"/>
    </w:pPr>
    <w:rPr>
      <w:i/>
      <w:iCs/>
      <w:color w:val="404040" w:themeColor="text1" w:themeTint="BF"/>
    </w:rPr>
  </w:style>
  <w:style w:type="character" w:customStyle="1" w:styleId="CitaCar">
    <w:name w:val="Cita Car"/>
    <w:basedOn w:val="Fuentedeprrafopredeter"/>
    <w:link w:val="Cita"/>
    <w:uiPriority w:val="29"/>
    <w:rsid w:val="001F05CA"/>
    <w:rPr>
      <w:i/>
      <w:iCs/>
      <w:color w:val="404040" w:themeColor="text1" w:themeTint="BF"/>
    </w:rPr>
  </w:style>
  <w:style w:type="paragraph" w:styleId="Prrafodelista">
    <w:name w:val="List Paragraph"/>
    <w:basedOn w:val="Normal"/>
    <w:uiPriority w:val="34"/>
    <w:qFormat/>
    <w:rsid w:val="001F05CA"/>
    <w:pPr>
      <w:ind w:left="720"/>
      <w:contextualSpacing/>
    </w:pPr>
  </w:style>
  <w:style w:type="character" w:styleId="nfasisintenso">
    <w:name w:val="Intense Emphasis"/>
    <w:basedOn w:val="Fuentedeprrafopredeter"/>
    <w:uiPriority w:val="21"/>
    <w:qFormat/>
    <w:rsid w:val="001F05CA"/>
    <w:rPr>
      <w:i/>
      <w:iCs/>
      <w:color w:val="0F4761" w:themeColor="accent1" w:themeShade="BF"/>
    </w:rPr>
  </w:style>
  <w:style w:type="paragraph" w:styleId="Citadestacada">
    <w:name w:val="Intense Quote"/>
    <w:basedOn w:val="Normal"/>
    <w:next w:val="Normal"/>
    <w:link w:val="CitadestacadaCar"/>
    <w:uiPriority w:val="30"/>
    <w:qFormat/>
    <w:rsid w:val="001F05C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1F05CA"/>
    <w:rPr>
      <w:i/>
      <w:iCs/>
      <w:color w:val="0F4761" w:themeColor="accent1" w:themeShade="BF"/>
    </w:rPr>
  </w:style>
  <w:style w:type="character" w:styleId="Referenciaintensa">
    <w:name w:val="Intense Reference"/>
    <w:basedOn w:val="Fuentedeprrafopredeter"/>
    <w:uiPriority w:val="32"/>
    <w:qFormat/>
    <w:rsid w:val="001F05CA"/>
    <w:rPr>
      <w:b/>
      <w:bCs/>
      <w:smallCaps/>
      <w:color w:val="0F4761" w:themeColor="accent1" w:themeShade="BF"/>
      <w:spacing w:val="5"/>
    </w:rPr>
  </w:style>
  <w:style w:type="paragraph" w:styleId="Encabezado">
    <w:name w:val="header"/>
    <w:basedOn w:val="Normal"/>
    <w:link w:val="EncabezadoCar"/>
    <w:uiPriority w:val="99"/>
    <w:unhideWhenUsed/>
    <w:rsid w:val="001F05C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F05CA"/>
    <w:rPr>
      <w:kern w:val="0"/>
      <w:sz w:val="22"/>
      <w:szCs w:val="22"/>
    </w:rPr>
  </w:style>
  <w:style w:type="paragraph" w:styleId="Piedepgina">
    <w:name w:val="footer"/>
    <w:basedOn w:val="Normal"/>
    <w:link w:val="PiedepginaCar"/>
    <w:uiPriority w:val="99"/>
    <w:unhideWhenUsed/>
    <w:rsid w:val="001F05C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F05CA"/>
    <w:rPr>
      <w:kern w:val="0"/>
      <w:sz w:val="22"/>
      <w:szCs w:val="22"/>
    </w:rPr>
  </w:style>
  <w:style w:type="paragraph" w:styleId="Sinespaciado">
    <w:name w:val="No Spacing"/>
    <w:uiPriority w:val="1"/>
    <w:qFormat/>
    <w:rsid w:val="001F05CA"/>
    <w:pPr>
      <w:spacing w:after="0" w:line="240" w:lineRule="auto"/>
    </w:pPr>
    <w:rPr>
      <w:kern w:val="0"/>
      <w:sz w:val="22"/>
      <w:szCs w:val="22"/>
    </w:rPr>
  </w:style>
  <w:style w:type="character" w:styleId="Hipervnculo">
    <w:name w:val="Hyperlink"/>
    <w:basedOn w:val="Fuentedeprrafopredeter"/>
    <w:uiPriority w:val="99"/>
    <w:unhideWhenUsed/>
    <w:rsid w:val="001F05CA"/>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9531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sem@itaipem.org.mx"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19</TotalTime>
  <Pages>6</Pages>
  <Words>2118</Words>
  <Characters>11651</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LUZ CRUZ MATEO</dc:creator>
  <cp:keywords/>
  <dc:description/>
  <cp:lastModifiedBy>ALMA LUZ CRUZ MATEO</cp:lastModifiedBy>
  <cp:revision>7</cp:revision>
  <dcterms:created xsi:type="dcterms:W3CDTF">2024-07-05T23:39:00Z</dcterms:created>
  <dcterms:modified xsi:type="dcterms:W3CDTF">2024-07-09T23:40:00Z</dcterms:modified>
</cp:coreProperties>
</file>