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BEFAD" w14:textId="77777777" w:rsidR="00A03538" w:rsidRDefault="00A0353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2975E0A5" w14:textId="77777777" w:rsidR="00A03538" w:rsidRDefault="00A0353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19FEC16C" w14:textId="45A6C239" w:rsidR="003161E8" w:rsidRPr="00A03538" w:rsidRDefault="003161E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Metepec, México; a </w:t>
      </w:r>
      <w:r w:rsidR="00071C90"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13</w:t>
      </w:r>
      <w:r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 de agosto de 2024</w:t>
      </w:r>
    </w:p>
    <w:p w14:paraId="5D4F0C99" w14:textId="264DA5AC" w:rsidR="003161E8" w:rsidRPr="00A03538" w:rsidRDefault="003161E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Oficio No.: </w:t>
      </w:r>
      <w:r w:rsidRPr="00A03538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206B0111000000L</w:t>
      </w:r>
      <w:r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/DGCIE/UT/</w:t>
      </w:r>
      <w:r w:rsidR="00D378B3"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412</w:t>
      </w:r>
      <w:r w:rsidRPr="00A0353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/2024</w:t>
      </w:r>
    </w:p>
    <w:p w14:paraId="3CA3248C" w14:textId="77777777" w:rsidR="003161E8" w:rsidRDefault="003161E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3ED539BC" w14:textId="77777777" w:rsidR="00A03538" w:rsidRDefault="00A0353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5730E153" w14:textId="77777777" w:rsidR="00A03538" w:rsidRPr="00A03538" w:rsidRDefault="00A03538" w:rsidP="00AD2966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6BB14C67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03538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0BCCFBBD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03538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6FBB3EC3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71C6FCCF" w14:textId="77777777" w:rsidR="00A03538" w:rsidRDefault="00A03538" w:rsidP="00AD2966">
      <w:pPr>
        <w:spacing w:after="0" w:line="240" w:lineRule="atLeast"/>
        <w:ind w:left="-426" w:right="-516"/>
        <w:jc w:val="both"/>
        <w:rPr>
          <w:rFonts w:ascii="Gotham" w:hAnsi="Gotham"/>
          <w:bCs/>
          <w:sz w:val="24"/>
          <w:szCs w:val="24"/>
        </w:rPr>
      </w:pPr>
    </w:p>
    <w:p w14:paraId="73E1BA8E" w14:textId="07FF8CBE" w:rsidR="003161E8" w:rsidRPr="00A03538" w:rsidRDefault="003161E8" w:rsidP="00AD2966">
      <w:pPr>
        <w:spacing w:after="0" w:line="240" w:lineRule="atLeast"/>
        <w:ind w:left="-426" w:right="-516"/>
        <w:jc w:val="both"/>
        <w:rPr>
          <w:rFonts w:ascii="Gotham" w:hAnsi="Gotham"/>
          <w:bCs/>
          <w:sz w:val="24"/>
          <w:szCs w:val="24"/>
        </w:rPr>
      </w:pPr>
      <w:r w:rsidRPr="00A03538">
        <w:rPr>
          <w:rFonts w:ascii="Gotham" w:hAnsi="Gotham"/>
          <w:bCs/>
          <w:sz w:val="24"/>
          <w:szCs w:val="24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A03538">
        <w:rPr>
          <w:rFonts w:ascii="Gotham" w:hAnsi="Gotham"/>
          <w:b/>
          <w:sz w:val="24"/>
          <w:szCs w:val="24"/>
        </w:rPr>
        <w:t>0009</w:t>
      </w:r>
      <w:r w:rsidR="00F57C6F" w:rsidRPr="00A03538">
        <w:rPr>
          <w:rFonts w:ascii="Gotham" w:hAnsi="Gotham"/>
          <w:b/>
          <w:sz w:val="24"/>
          <w:szCs w:val="24"/>
        </w:rPr>
        <w:t>8</w:t>
      </w:r>
      <w:r w:rsidRPr="00A03538">
        <w:rPr>
          <w:rFonts w:ascii="Gotham" w:hAnsi="Gotham"/>
          <w:b/>
          <w:sz w:val="24"/>
          <w:szCs w:val="24"/>
        </w:rPr>
        <w:t>/SESESP/IP/2024</w:t>
      </w:r>
      <w:r w:rsidRPr="00A03538">
        <w:rPr>
          <w:rFonts w:ascii="Gotham" w:hAnsi="Gotham"/>
          <w:bCs/>
          <w:sz w:val="24"/>
          <w:szCs w:val="24"/>
        </w:rPr>
        <w:t xml:space="preserve">, ingresada y registrada a través del Sistema de Acceso a la Información Mexiquense (SAIMEX), </w:t>
      </w:r>
      <w:r w:rsidR="00AD2966" w:rsidRPr="00A03538">
        <w:rPr>
          <w:rFonts w:ascii="Gotham" w:hAnsi="Gotham"/>
          <w:bCs/>
          <w:sz w:val="24"/>
          <w:szCs w:val="24"/>
        </w:rPr>
        <w:t>el 05 de agosto de 2024, que a la letra señala:</w:t>
      </w:r>
    </w:p>
    <w:p w14:paraId="05A7C742" w14:textId="77777777" w:rsidR="00AD2966" w:rsidRPr="00A03538" w:rsidRDefault="00AD2966" w:rsidP="00AD2966">
      <w:pPr>
        <w:spacing w:after="0" w:line="240" w:lineRule="atLeast"/>
        <w:ind w:left="-426" w:right="-516"/>
        <w:jc w:val="both"/>
        <w:rPr>
          <w:rFonts w:ascii="Gotham" w:hAnsi="Gotham"/>
          <w:bCs/>
          <w:sz w:val="24"/>
          <w:szCs w:val="24"/>
        </w:rPr>
      </w:pPr>
    </w:p>
    <w:p w14:paraId="11B72C98" w14:textId="1C4286C6" w:rsidR="00AD2966" w:rsidRDefault="003161E8" w:rsidP="00AD2966">
      <w:pPr>
        <w:spacing w:after="0" w:line="240" w:lineRule="atLeast"/>
        <w:ind w:left="-426" w:right="-658"/>
        <w:jc w:val="both"/>
        <w:rPr>
          <w:rFonts w:ascii="Gotham" w:hAnsi="Gotham"/>
          <w:b/>
          <w:sz w:val="24"/>
          <w:szCs w:val="24"/>
        </w:rPr>
      </w:pPr>
      <w:r w:rsidRPr="00A03538">
        <w:rPr>
          <w:rFonts w:ascii="Gotham" w:hAnsi="Gotham"/>
          <w:b/>
          <w:sz w:val="24"/>
          <w:szCs w:val="24"/>
        </w:rPr>
        <w:t>Solicitud:</w:t>
      </w:r>
    </w:p>
    <w:p w14:paraId="40F83295" w14:textId="77777777" w:rsidR="00A03538" w:rsidRPr="00A03538" w:rsidRDefault="00A03538" w:rsidP="00AD2966">
      <w:pPr>
        <w:spacing w:after="0" w:line="240" w:lineRule="atLeast"/>
        <w:ind w:left="-426" w:right="-658"/>
        <w:jc w:val="both"/>
        <w:rPr>
          <w:rFonts w:ascii="Gotham" w:hAnsi="Gotham"/>
          <w:sz w:val="24"/>
          <w:szCs w:val="24"/>
        </w:rPr>
      </w:pPr>
    </w:p>
    <w:p w14:paraId="7365C6C5" w14:textId="4FF03D9C" w:rsidR="003161E8" w:rsidRPr="00A03538" w:rsidRDefault="00F57C6F" w:rsidP="00AD2966">
      <w:pPr>
        <w:spacing w:after="0" w:line="240" w:lineRule="atLeast"/>
        <w:ind w:left="-426" w:right="-658"/>
        <w:jc w:val="both"/>
        <w:rPr>
          <w:rFonts w:ascii="Gotham" w:hAnsi="Gotham"/>
          <w:bCs/>
          <w:i/>
          <w:iCs/>
          <w:sz w:val="24"/>
          <w:szCs w:val="24"/>
        </w:rPr>
      </w:pPr>
      <w:r w:rsidRPr="00A03538">
        <w:rPr>
          <w:rFonts w:ascii="Gotham" w:hAnsi="Gotham"/>
          <w:bCs/>
          <w:i/>
          <w:iCs/>
          <w:sz w:val="24"/>
          <w:szCs w:val="24"/>
        </w:rPr>
        <w:t xml:space="preserve">“Cuales son la funciones del Ingeniero </w:t>
      </w:r>
      <w:proofErr w:type="spellStart"/>
      <w:r w:rsidRPr="00A03538">
        <w:rPr>
          <w:rFonts w:ascii="Gotham" w:hAnsi="Gotham"/>
          <w:bCs/>
          <w:i/>
          <w:iCs/>
          <w:sz w:val="24"/>
          <w:szCs w:val="24"/>
        </w:rPr>
        <w:t>Adrian</w:t>
      </w:r>
      <w:proofErr w:type="spellEnd"/>
      <w:r w:rsidRPr="00A03538">
        <w:rPr>
          <w:rFonts w:ascii="Gotham" w:hAnsi="Gotham"/>
          <w:bCs/>
          <w:i/>
          <w:iCs/>
          <w:sz w:val="24"/>
          <w:szCs w:val="24"/>
        </w:rPr>
        <w:t xml:space="preserve"> Teodoro </w:t>
      </w:r>
      <w:proofErr w:type="spellStart"/>
      <w:r w:rsidRPr="00A03538">
        <w:rPr>
          <w:rFonts w:ascii="Gotham" w:hAnsi="Gotham"/>
          <w:bCs/>
          <w:i/>
          <w:iCs/>
          <w:sz w:val="24"/>
          <w:szCs w:val="24"/>
        </w:rPr>
        <w:t>Gonzalez</w:t>
      </w:r>
      <w:proofErr w:type="spellEnd"/>
      <w:r w:rsidRPr="00A03538">
        <w:rPr>
          <w:rFonts w:ascii="Gotham" w:hAnsi="Gotham"/>
          <w:bCs/>
          <w:i/>
          <w:iCs/>
          <w:sz w:val="24"/>
          <w:szCs w:val="24"/>
        </w:rPr>
        <w:t xml:space="preserve"> </w:t>
      </w:r>
      <w:proofErr w:type="spellStart"/>
      <w:r w:rsidRPr="00A03538">
        <w:rPr>
          <w:rFonts w:ascii="Gotham" w:hAnsi="Gotham"/>
          <w:bCs/>
          <w:i/>
          <w:iCs/>
          <w:sz w:val="24"/>
          <w:szCs w:val="24"/>
        </w:rPr>
        <w:t>Juarez</w:t>
      </w:r>
      <w:proofErr w:type="spellEnd"/>
      <w:r w:rsidRPr="00A03538">
        <w:rPr>
          <w:rFonts w:ascii="Gotham" w:hAnsi="Gotham"/>
          <w:bCs/>
          <w:i/>
          <w:iCs/>
          <w:sz w:val="24"/>
          <w:szCs w:val="24"/>
        </w:rPr>
        <w:t xml:space="preserve"> Director general de vinculación y coordinación con instancias. su experiencia en seguridad </w:t>
      </w:r>
      <w:proofErr w:type="spellStart"/>
      <w:r w:rsidRPr="00A03538">
        <w:rPr>
          <w:rFonts w:ascii="Gotham" w:hAnsi="Gotham"/>
          <w:bCs/>
          <w:i/>
          <w:iCs/>
          <w:sz w:val="24"/>
          <w:szCs w:val="24"/>
        </w:rPr>
        <w:t>publica</w:t>
      </w:r>
      <w:proofErr w:type="spellEnd"/>
      <w:r w:rsidRPr="00A03538">
        <w:rPr>
          <w:rFonts w:ascii="Gotham" w:hAnsi="Gotham"/>
          <w:bCs/>
          <w:i/>
          <w:iCs/>
          <w:sz w:val="24"/>
          <w:szCs w:val="24"/>
        </w:rPr>
        <w:t xml:space="preserve">. su estado ante el centro de control de </w:t>
      </w:r>
      <w:proofErr w:type="spellStart"/>
      <w:r w:rsidRPr="00A03538">
        <w:rPr>
          <w:rFonts w:ascii="Gotham" w:hAnsi="Gotham"/>
          <w:bCs/>
          <w:i/>
          <w:iCs/>
          <w:sz w:val="24"/>
          <w:szCs w:val="24"/>
        </w:rPr>
        <w:t>cofianza</w:t>
      </w:r>
      <w:proofErr w:type="spellEnd"/>
      <w:r w:rsidRPr="00A03538">
        <w:rPr>
          <w:rFonts w:ascii="Gotham" w:hAnsi="Gotham"/>
          <w:bCs/>
          <w:i/>
          <w:iCs/>
          <w:sz w:val="24"/>
          <w:szCs w:val="24"/>
        </w:rPr>
        <w:t>.”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(sic)</w:t>
      </w:r>
    </w:p>
    <w:p w14:paraId="2B521144" w14:textId="77777777" w:rsidR="00F57C6F" w:rsidRPr="00A03538" w:rsidRDefault="00F57C6F" w:rsidP="00AD2966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5C9EEDA7" w14:textId="3F39235C" w:rsidR="003161E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sz w:val="24"/>
          <w:szCs w:val="24"/>
        </w:rPr>
      </w:pPr>
      <w:r w:rsidRPr="00A03538">
        <w:rPr>
          <w:rFonts w:ascii="Gotham" w:hAnsi="Gotham" w:cs="Arial"/>
          <w:b/>
          <w:bCs/>
          <w:sz w:val="24"/>
          <w:szCs w:val="24"/>
        </w:rPr>
        <w:t>Competencia:</w:t>
      </w:r>
    </w:p>
    <w:p w14:paraId="3ACA354A" w14:textId="77777777" w:rsidR="00A03538" w:rsidRPr="00A03538" w:rsidRDefault="00A0353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5810100F" w14:textId="63A40921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>Al respecto, con fundamento en los artículos 1, 4, 12 segundo párrafo, 24 último párrafo, y 53 fracción II de la Ley de Transparencia y Acceso a la Información Pública del Estado de México y Municipios; 61 de la Ley de Seguridad del Estado de México; y 9</w:t>
      </w:r>
      <w:r w:rsidR="00C435FA" w:rsidRPr="00A03538">
        <w:rPr>
          <w:rFonts w:ascii="Gotham" w:hAnsi="Gotham" w:cs="Arial"/>
          <w:bCs/>
          <w:sz w:val="24"/>
          <w:szCs w:val="24"/>
        </w:rPr>
        <w:t xml:space="preserve">, </w:t>
      </w:r>
      <w:r w:rsidR="00954779" w:rsidRPr="00A03538">
        <w:rPr>
          <w:rFonts w:ascii="Gotham" w:hAnsi="Gotham" w:cs="Arial"/>
          <w:bCs/>
          <w:sz w:val="24"/>
          <w:szCs w:val="24"/>
        </w:rPr>
        <w:t xml:space="preserve">y </w:t>
      </w:r>
      <w:r w:rsidR="00C435FA" w:rsidRPr="00A03538">
        <w:rPr>
          <w:rFonts w:ascii="Gotham" w:hAnsi="Gotham" w:cs="Arial"/>
          <w:bCs/>
          <w:sz w:val="24"/>
          <w:szCs w:val="24"/>
        </w:rPr>
        <w:t xml:space="preserve">12 Bis </w:t>
      </w:r>
      <w:r w:rsidRPr="00A03538">
        <w:rPr>
          <w:rFonts w:ascii="Gotham" w:hAnsi="Gotham" w:cs="Arial"/>
          <w:bCs/>
          <w:sz w:val="24"/>
          <w:szCs w:val="24"/>
        </w:rPr>
        <w:t>del Reglamento Interior del Secretariado Ejecutivo del Sistema Estatal de Seguridad Pública, me permito informar a Usted, que este Sujeto Obligado da respuesta como se expondrá de manera fundada.</w:t>
      </w:r>
    </w:p>
    <w:p w14:paraId="7B44FAF8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284AF853" w14:textId="0E0E5A90" w:rsidR="003161E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sz w:val="24"/>
          <w:szCs w:val="24"/>
        </w:rPr>
      </w:pPr>
      <w:r w:rsidRPr="00A03538">
        <w:rPr>
          <w:rFonts w:ascii="Gotham" w:hAnsi="Gotham" w:cs="Arial"/>
          <w:b/>
          <w:bCs/>
          <w:sz w:val="24"/>
          <w:szCs w:val="24"/>
        </w:rPr>
        <w:t>Fundamentación y Motivación:</w:t>
      </w:r>
    </w:p>
    <w:p w14:paraId="7993C396" w14:textId="77777777" w:rsidR="00A03538" w:rsidRPr="00A03538" w:rsidRDefault="00A0353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5F2549A3" w14:textId="77777777" w:rsidR="003161E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>“Artículo 12…</w:t>
      </w:r>
    </w:p>
    <w:p w14:paraId="45D6D7C1" w14:textId="77777777" w:rsidR="00A03538" w:rsidRPr="00A03538" w:rsidRDefault="00A0353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62EEC3A9" w14:textId="4351A953" w:rsidR="003161E8" w:rsidRPr="00A03538" w:rsidRDefault="00C435FA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03538">
        <w:rPr>
          <w:rFonts w:ascii="Gotham" w:hAnsi="Gotham" w:cs="Arial"/>
          <w:bCs/>
          <w:i/>
          <w:iCs/>
          <w:sz w:val="24"/>
          <w:szCs w:val="24"/>
        </w:rPr>
        <w:t>Los sujetos obligados sólo proporcionarán la información pública que se les requiera y que obre en sus archivos y en el estado en que ésta se encuentre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>. La obligación de proporcionar información no comprende el procesamiento de la misma, ni el presentarla conforme al interés del solicitante; no estarán obligados a generarla, resumirla, efectuar cálculos o practicar investigaciones.” (énfasis añadido)</w:t>
      </w:r>
    </w:p>
    <w:p w14:paraId="723D3F5F" w14:textId="77777777" w:rsidR="00C435FA" w:rsidRPr="00A03538" w:rsidRDefault="00C435FA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7CD51623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>“Artículo 24.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 … </w:t>
      </w:r>
    </w:p>
    <w:p w14:paraId="65B607ED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i/>
          <w:iCs/>
          <w:sz w:val="24"/>
          <w:szCs w:val="24"/>
        </w:rPr>
        <w:lastRenderedPageBreak/>
        <w:t>Los sujetos obligados solo proporcionarán la información pública que generen, administren o posean en el ejercicio de sus atribuciones.”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32359045" w14:textId="77777777" w:rsidR="00C435FA" w:rsidRPr="00A03538" w:rsidRDefault="00C435FA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063EF2AA" w14:textId="77777777" w:rsidR="00C435FA" w:rsidRPr="00A03538" w:rsidRDefault="00C435FA" w:rsidP="00C435FA">
      <w:pPr>
        <w:spacing w:after="0" w:line="240" w:lineRule="atLeast"/>
        <w:ind w:left="-426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  <w:r w:rsidRPr="00A03538">
        <w:rPr>
          <w:rFonts w:ascii="Gotham" w:hAnsi="Gotham"/>
          <w:b/>
          <w:i/>
          <w:iCs/>
          <w:sz w:val="24"/>
          <w:szCs w:val="24"/>
        </w:rPr>
        <w:t>“Artículo 162</w:t>
      </w:r>
      <w:r w:rsidRPr="00A03538">
        <w:rPr>
          <w:rFonts w:ascii="Gotham" w:hAnsi="Gotham"/>
          <w:b/>
          <w:bCs/>
          <w:i/>
          <w:iCs/>
          <w:sz w:val="24"/>
          <w:szCs w:val="24"/>
        </w:rPr>
        <w:t xml:space="preserve">. </w:t>
      </w:r>
      <w:r w:rsidRPr="00A03538">
        <w:rPr>
          <w:rFonts w:ascii="Gotham" w:hAnsi="Gotham"/>
          <w:i/>
          <w:iCs/>
          <w:sz w:val="24"/>
          <w:szCs w:val="24"/>
        </w:rPr>
        <w:t xml:space="preserve">Las unidades de transparencia deberán garantizar que las solicitudes se turnen a todas las Áreas competentes que cuenten con la información o deban tenerla de acuerdo a sus facultades, competencias y funciones, </w:t>
      </w:r>
      <w:r w:rsidRPr="00A03538">
        <w:rPr>
          <w:rFonts w:ascii="Gotham" w:hAnsi="Gotham"/>
          <w:b/>
          <w:bCs/>
          <w:i/>
          <w:iCs/>
          <w:sz w:val="24"/>
          <w:szCs w:val="24"/>
        </w:rPr>
        <w:t>con el objeto de que realicen una búsqueda exhaustiva y razonable de la información solicitada.</w:t>
      </w:r>
      <w:r w:rsidRPr="00A03538">
        <w:rPr>
          <w:rFonts w:ascii="Gotham" w:hAnsi="Gotham"/>
          <w:i/>
          <w:iCs/>
          <w:sz w:val="24"/>
          <w:szCs w:val="24"/>
        </w:rPr>
        <w:t>”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5FDC4571" w14:textId="77777777" w:rsidR="00071C90" w:rsidRPr="00A03538" w:rsidRDefault="00071C90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22E062C4" w14:textId="21875533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1539B766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623D6E63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sz w:val="24"/>
          <w:szCs w:val="24"/>
        </w:rPr>
        <w:t>“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>No existe obligación de elaborar documentos ad hoc para atender las solicitudes de acceso a la información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.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>proporcionando la información con la que cuentan en el formato en que la misma obre en sus archivos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>;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 xml:space="preserve"> sin necesidad de elaborar documentos ad hoc para atender las solicitudes de información.</w:t>
      </w:r>
    </w:p>
    <w:p w14:paraId="69C0BDDB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</w:p>
    <w:p w14:paraId="197C9886" w14:textId="57B50D7E" w:rsidR="003161E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Resoluciones: </w:t>
      </w:r>
    </w:p>
    <w:p w14:paraId="071CECCB" w14:textId="77777777" w:rsidR="00A03538" w:rsidRPr="00A03538" w:rsidRDefault="00A0353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5BF3F9B6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RRA 0050/16.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 Instituto Nacional para la Evaluación de la Educación. 13 julio de 2016. Por unanimidad. Comisionado Ponente: Francisco Javier Acuña Llamas. </w:t>
      </w:r>
    </w:p>
    <w:p w14:paraId="39BF9B53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RRA 0310/16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06B6A1B0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RRA 1889/16.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 Secretaría de Hacienda y Crédito Público. 05 de octubre de 2016. Por unanimidad. Comisionada Ponente. Ximena Puente de la Mora.”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27658AF2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5B582587" w14:textId="26FF12C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 xml:space="preserve">Una vez analizada su Solicitud de Información, y derivado del </w:t>
      </w:r>
      <w:r w:rsidRPr="00A03538">
        <w:rPr>
          <w:rFonts w:ascii="Gotham" w:hAnsi="Gotham" w:cs="Arial"/>
          <w:b/>
          <w:sz w:val="24"/>
          <w:szCs w:val="24"/>
        </w:rPr>
        <w:t>oficio 206B0114010000L/0096/2024</w:t>
      </w:r>
      <w:r w:rsidRPr="00A03538">
        <w:rPr>
          <w:rFonts w:ascii="Gotham" w:hAnsi="Gotham" w:cs="Arial"/>
          <w:bCs/>
          <w:sz w:val="24"/>
          <w:szCs w:val="24"/>
        </w:rPr>
        <w:t>, signado por el Director de Coordinación Operativa de la Dirección General de Vinculación y Coordinación con Instancias, y Servidor Público Habilitado Suplente; este Sujeto Obligado proporciona la información en los términos siguientes:</w:t>
      </w:r>
    </w:p>
    <w:p w14:paraId="5FA489C7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</w:p>
    <w:p w14:paraId="46467A0C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 xml:space="preserve">Al respecto, se hace de su conocimiento que este Sujeto Obligado </w:t>
      </w:r>
      <w:r w:rsidRPr="00A03538">
        <w:rPr>
          <w:rFonts w:ascii="Gotham" w:hAnsi="Gotham" w:cs="Arial"/>
          <w:sz w:val="24"/>
          <w:szCs w:val="24"/>
        </w:rPr>
        <w:t xml:space="preserve">sólo proporcionará la información pública que obre en sus archivos y </w:t>
      </w:r>
      <w:r w:rsidRPr="00A03538">
        <w:rPr>
          <w:rFonts w:ascii="Gotham" w:hAnsi="Gotham" w:cs="Arial"/>
          <w:b/>
          <w:bCs/>
          <w:sz w:val="24"/>
          <w:szCs w:val="24"/>
        </w:rPr>
        <w:t>en el estado en que ésta se encuentre</w:t>
      </w:r>
      <w:r w:rsidRPr="00A03538">
        <w:rPr>
          <w:rFonts w:ascii="Gotham" w:hAnsi="Gotham" w:cs="Arial"/>
          <w:bCs/>
          <w:sz w:val="24"/>
          <w:szCs w:val="24"/>
        </w:rPr>
        <w:t xml:space="preserve">, asimismo, la obligación de proporcionar información no comprende el procesamiento de esta, ni el presentarla conforme al interés del solicitante o practicar investigaciones. </w:t>
      </w:r>
    </w:p>
    <w:p w14:paraId="18C507A3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/>
          <w:sz w:val="24"/>
          <w:szCs w:val="24"/>
        </w:rPr>
      </w:pPr>
    </w:p>
    <w:p w14:paraId="59C2B38F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iCs/>
          <w:sz w:val="24"/>
          <w:szCs w:val="24"/>
        </w:rPr>
      </w:pPr>
      <w:r w:rsidRPr="00A03538">
        <w:rPr>
          <w:rFonts w:ascii="Gotham" w:hAnsi="Gotham" w:cs="Arial"/>
          <w:bCs/>
          <w:iCs/>
          <w:sz w:val="24"/>
          <w:szCs w:val="24"/>
        </w:rPr>
        <w:t>Por lo tanto, ello puede tener como efectos que la información no se posea en los mismos términos que Usted la solicita.</w:t>
      </w:r>
    </w:p>
    <w:p w14:paraId="1D6F4965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</w:p>
    <w:p w14:paraId="515F765E" w14:textId="2EE9A37A" w:rsidR="00625B40" w:rsidRPr="00A03538" w:rsidRDefault="00625B40" w:rsidP="00625B40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 xml:space="preserve">Referente a 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>“</w:t>
      </w:r>
      <w:r w:rsidRPr="00A03538">
        <w:rPr>
          <w:rFonts w:ascii="Gotham" w:hAnsi="Gotham" w:cs="Arial"/>
          <w:i/>
          <w:iCs/>
          <w:sz w:val="24"/>
          <w:szCs w:val="24"/>
        </w:rPr>
        <w:t xml:space="preserve">Cuales son la funciones del Ingeniero </w:t>
      </w:r>
      <w:proofErr w:type="spellStart"/>
      <w:r w:rsidRPr="00A03538">
        <w:rPr>
          <w:rFonts w:ascii="Gotham" w:hAnsi="Gotham" w:cs="Arial"/>
          <w:i/>
          <w:iCs/>
          <w:sz w:val="24"/>
          <w:szCs w:val="24"/>
        </w:rPr>
        <w:t>Adrian</w:t>
      </w:r>
      <w:proofErr w:type="spellEnd"/>
      <w:r w:rsidRPr="00A03538">
        <w:rPr>
          <w:rFonts w:ascii="Gotham" w:hAnsi="Gotham" w:cs="Arial"/>
          <w:i/>
          <w:iCs/>
          <w:sz w:val="24"/>
          <w:szCs w:val="24"/>
        </w:rPr>
        <w:t xml:space="preserve"> Teodoro </w:t>
      </w:r>
      <w:proofErr w:type="spellStart"/>
      <w:r w:rsidRPr="00A03538">
        <w:rPr>
          <w:rFonts w:ascii="Gotham" w:hAnsi="Gotham" w:cs="Arial"/>
          <w:i/>
          <w:iCs/>
          <w:sz w:val="24"/>
          <w:szCs w:val="24"/>
        </w:rPr>
        <w:t>Gonzalez</w:t>
      </w:r>
      <w:proofErr w:type="spellEnd"/>
      <w:r w:rsidRPr="00A03538">
        <w:rPr>
          <w:rFonts w:ascii="Gotham" w:hAnsi="Gotham" w:cs="Arial"/>
          <w:i/>
          <w:iCs/>
          <w:sz w:val="24"/>
          <w:szCs w:val="24"/>
        </w:rPr>
        <w:t xml:space="preserve"> </w:t>
      </w:r>
      <w:proofErr w:type="spellStart"/>
      <w:r w:rsidRPr="00A03538">
        <w:rPr>
          <w:rFonts w:ascii="Gotham" w:hAnsi="Gotham" w:cs="Arial"/>
          <w:i/>
          <w:iCs/>
          <w:sz w:val="24"/>
          <w:szCs w:val="24"/>
        </w:rPr>
        <w:t>Juarez</w:t>
      </w:r>
      <w:proofErr w:type="spellEnd"/>
      <w:r w:rsidRPr="00A03538">
        <w:rPr>
          <w:rFonts w:ascii="Gotham" w:hAnsi="Gotham" w:cs="Arial"/>
          <w:i/>
          <w:iCs/>
          <w:sz w:val="24"/>
          <w:szCs w:val="24"/>
        </w:rPr>
        <w:t xml:space="preserve"> Director general de vinculación y coordinación con instancias…”</w:t>
      </w:r>
      <w:r w:rsidR="00071C90" w:rsidRPr="00A03538">
        <w:rPr>
          <w:rFonts w:ascii="Gotham" w:hAnsi="Gotham" w:cs="Arial"/>
          <w:i/>
          <w:iCs/>
          <w:sz w:val="24"/>
          <w:szCs w:val="24"/>
        </w:rPr>
        <w:t>,</w:t>
      </w:r>
      <w:r w:rsidRPr="00A03538">
        <w:rPr>
          <w:rFonts w:ascii="Gotham" w:hAnsi="Gotham" w:cs="Arial"/>
          <w:i/>
          <w:iCs/>
          <w:sz w:val="24"/>
          <w:szCs w:val="24"/>
        </w:rPr>
        <w:t xml:space="preserve"> </w:t>
      </w:r>
      <w:r w:rsidRPr="00A03538">
        <w:rPr>
          <w:rFonts w:ascii="Gotham" w:hAnsi="Gotham" w:cs="Arial"/>
          <w:sz w:val="24"/>
          <w:szCs w:val="24"/>
        </w:rPr>
        <w:t>una vez que la Dirección General de Vinculación y Coordinación con Instancias realiz</w:t>
      </w:r>
      <w:r w:rsidR="00AF2773" w:rsidRPr="00A03538">
        <w:rPr>
          <w:rFonts w:ascii="Gotham" w:hAnsi="Gotham" w:cs="Arial"/>
          <w:sz w:val="24"/>
          <w:szCs w:val="24"/>
        </w:rPr>
        <w:t>ó</w:t>
      </w:r>
      <w:r w:rsidRPr="00A03538">
        <w:rPr>
          <w:rFonts w:ascii="Gotham" w:hAnsi="Gotham" w:cs="Arial"/>
          <w:sz w:val="24"/>
          <w:szCs w:val="24"/>
        </w:rPr>
        <w:t xml:space="preserve"> </w:t>
      </w:r>
      <w:r w:rsidR="00AF2773" w:rsidRPr="00A03538">
        <w:rPr>
          <w:rFonts w:ascii="Gotham" w:hAnsi="Gotham" w:cs="Arial"/>
          <w:sz w:val="24"/>
          <w:szCs w:val="24"/>
        </w:rPr>
        <w:t>una</w:t>
      </w:r>
      <w:r w:rsidRPr="00A03538">
        <w:rPr>
          <w:rFonts w:ascii="Gotham" w:hAnsi="Gotham" w:cs="Arial"/>
          <w:sz w:val="24"/>
          <w:szCs w:val="24"/>
        </w:rPr>
        <w:t xml:space="preserve"> búsqueda razonable y exhaustiva de la información solicitada, reportó que las funciones que realiza</w:t>
      </w:r>
      <w:r w:rsidR="00AF2773" w:rsidRPr="00A03538">
        <w:rPr>
          <w:rFonts w:ascii="Gotham" w:hAnsi="Gotham" w:cs="Arial"/>
          <w:sz w:val="24"/>
          <w:szCs w:val="24"/>
        </w:rPr>
        <w:t>,</w:t>
      </w:r>
      <w:r w:rsidRPr="00A03538">
        <w:rPr>
          <w:rFonts w:ascii="Gotham" w:hAnsi="Gotham" w:cs="Arial"/>
          <w:sz w:val="24"/>
          <w:szCs w:val="24"/>
        </w:rPr>
        <w:t xml:space="preserve"> son las estipuladas en el apartado </w:t>
      </w:r>
      <w:r w:rsidRPr="00A03538">
        <w:rPr>
          <w:rFonts w:ascii="Gotham" w:hAnsi="Gotham" w:cs="Arial"/>
          <w:b/>
          <w:bCs/>
          <w:sz w:val="24"/>
          <w:szCs w:val="24"/>
        </w:rPr>
        <w:t xml:space="preserve">206B0114000000L </w:t>
      </w:r>
      <w:r w:rsidR="00071C90" w:rsidRPr="00A03538">
        <w:rPr>
          <w:rFonts w:ascii="Gotham" w:hAnsi="Gotham" w:cs="Arial"/>
          <w:b/>
          <w:bCs/>
          <w:sz w:val="24"/>
          <w:szCs w:val="24"/>
        </w:rPr>
        <w:t>Dirección General de Vinculación y Coordinación con Instancias</w:t>
      </w:r>
      <w:r w:rsidR="00071C90" w:rsidRPr="00A03538">
        <w:rPr>
          <w:rFonts w:ascii="Gotham" w:hAnsi="Gotham" w:cs="Arial"/>
          <w:sz w:val="24"/>
          <w:szCs w:val="24"/>
        </w:rPr>
        <w:t xml:space="preserve"> </w:t>
      </w:r>
      <w:r w:rsidRPr="00A03538">
        <w:rPr>
          <w:rFonts w:ascii="Gotham" w:hAnsi="Gotham" w:cs="Arial"/>
          <w:sz w:val="24"/>
          <w:szCs w:val="24"/>
        </w:rPr>
        <w:t>del Manual General de Organización del Secretariado Ejecutivo del Sistema Estatal de Seguridad Pública, y que corresponden a las siguientes:</w:t>
      </w:r>
    </w:p>
    <w:p w14:paraId="564CC359" w14:textId="77777777" w:rsidR="00625B40" w:rsidRPr="00A03538" w:rsidRDefault="00625B40" w:rsidP="00625B40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</w:p>
    <w:p w14:paraId="59EF06F2" w14:textId="77777777" w:rsidR="00625B40" w:rsidRPr="00A03538" w:rsidRDefault="00625B40" w:rsidP="00625B40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“FUNCIONES:</w:t>
      </w:r>
    </w:p>
    <w:p w14:paraId="0E2B6886" w14:textId="44D5AE16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Representar al Secretariado Ejecutivo en los Consejos Intermunicipales y Municipales, en comisiones, foros o grupos de trabajo relacionados con la seguridad pública, que sean encomendados por la o el Titular del Secretariado Ejecutivo.</w:t>
      </w:r>
    </w:p>
    <w:p w14:paraId="17CD1D1A" w14:textId="636F102A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Formular los mecanismos para impulsar una planeación estratégica que propicie una adecuada coordinación con las instituciones de seguridad pública de los tres ámbitos de gobierno.</w:t>
      </w:r>
    </w:p>
    <w:p w14:paraId="32E231A8" w14:textId="4E6EB93D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Promover ante las instancias del Sistema, la realización de operativos conjuntos para el cumplimiento de los fines de seguridad pública.</w:t>
      </w:r>
    </w:p>
    <w:p w14:paraId="1D434836" w14:textId="76C8F472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Proponer a la o al Titular del Secretariado Ejecutivo la realización de programas de cooperación municipal, regional y estatal, así como de acuerdos y convenios de colaboración con entidades y organismos públicos.</w:t>
      </w:r>
    </w:p>
    <w:p w14:paraId="6A089FDB" w14:textId="0DF16230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Implementar los mecanismos de vinculación que permitan concertar con los municipios, la celebración de convenios, colaboración y demás actos jurídicos derivados de las funciones del Secretariado Ejecutivo para el cumplimiento de los fines de la Seguridad Pública.</w:t>
      </w:r>
    </w:p>
    <w:p w14:paraId="0619B8BB" w14:textId="7571ADAB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Instaurar y conservar la coordinación y enlace permanente de apoyo, consulta y asesoría con las diferentes instancias del sistema y los municipios, con el apoyo de las unidades administrativas del Secretariado Ejecutivo.</w:t>
      </w:r>
    </w:p>
    <w:p w14:paraId="1621BB65" w14:textId="4E1A8FB1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Generar propuestas de políticas públicas en materia de seguridad pública y someterlas a consideración de la o del Titular del Secretariado Ejecutivo.</w:t>
      </w:r>
    </w:p>
    <w:p w14:paraId="271EC0C0" w14:textId="73A5345D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Evaluar el desempeño de las funciones encomendadas y realizar las acciones pertinentes.</w:t>
      </w:r>
    </w:p>
    <w:p w14:paraId="4C68B316" w14:textId="4E2129AD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Preparar de manera oportuna la información que requiera el Secretariado Ejecutivo del Sistema Nacional para ponerla a disposición del Secretariado Ejecutivo.</w:t>
      </w:r>
    </w:p>
    <w:p w14:paraId="67AB317A" w14:textId="2550E0B4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Elaborar las estrategias conforme a los objetivos del Sistema Estatal.</w:t>
      </w:r>
    </w:p>
    <w:p w14:paraId="6C4CA655" w14:textId="1265243E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Operar las acciones y estrategias de comunicación e intercambio de información con las unidades administrativas del Secretariado Ejecutivo relativas al Sistema Estatal, así como con las instancias integrantes de éste.</w:t>
      </w:r>
    </w:p>
    <w:p w14:paraId="5395F055" w14:textId="2FDACEBE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Proponer proyectos de estudios especializados sobre Seguridad Pública a la Secretaria o al Secretario Ejecutivo.</w:t>
      </w:r>
    </w:p>
    <w:p w14:paraId="69B51784" w14:textId="1E8240E6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Integrar el archivo de acuerdos de las sesiones de los Consejos Estatal, Intermunicipal y Municipal de Seguridad Pública, así como el relativo a las sesiones del Comité Técnico de Análisis, Seguimiento y de Autorización de Modificaciones Programático Presupuestales; de las Comisiones de Acreditación y Certificación, de Información y Estadística, y del Interinstitucional para la Prevención Social de la Violencia y la Delincuencia del Estado de México.</w:t>
      </w:r>
    </w:p>
    <w:p w14:paraId="63540495" w14:textId="59EE79E1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lastRenderedPageBreak/>
        <w:t>Elaborar los informes periódicos de actividades para la presentación de la Secretaría Ejecutiva al Consejo Estatal.</w:t>
      </w:r>
    </w:p>
    <w:p w14:paraId="2940BBF8" w14:textId="56C111F6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Coordinar la instalación, desarrollo y seguimiento de los Consejos Intermunicipales de Seguridad Pública.</w:t>
      </w:r>
    </w:p>
    <w:p w14:paraId="3377EBE4" w14:textId="37BE8565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Organizar las sesiones de los Consejos Municipales e Intermunicipales de Seguridad Pública.</w:t>
      </w:r>
    </w:p>
    <w:p w14:paraId="3AD2DBCE" w14:textId="2B8E0F82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Establecer mecanismos permanentes de capacitación y actualización para las servidoras y los servidores públicos municipales sobre la normatividad y operación del servicio de seguridad pública.</w:t>
      </w:r>
    </w:p>
    <w:p w14:paraId="3650B822" w14:textId="322FA5AE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Resguardar y actualizar los directorios de los Consejeros integrantes, representantes, invitados permanentes y especiales de los Consejos Intermunicipales y Municipales de Seguridad Pública.</w:t>
      </w:r>
    </w:p>
    <w:p w14:paraId="51B4CF0F" w14:textId="6EB4493A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Promover la relación y comunicación con organizaciones sociales interesadas en el funcionamiento del Secretariado Ejecutivo.</w:t>
      </w:r>
    </w:p>
    <w:p w14:paraId="20786312" w14:textId="26D08BD5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Verificar el seguimiento al cumplimiento del Programa Operativo Anual de su competencia.</w:t>
      </w:r>
    </w:p>
    <w:p w14:paraId="457D5D3D" w14:textId="5E7556D4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Intercambiar, con el Centro de Información y Estadística, información sobre la incidencia delictiva de los municipios de la entidad.</w:t>
      </w:r>
    </w:p>
    <w:p w14:paraId="37BDC6B0" w14:textId="43639302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Generar los reportes de las solicitudes, denuncias y acuerdos de los Consejos Nacional, Estatal, Intermunicipales y Municipales de</w:t>
      </w:r>
      <w:r w:rsidR="002E7B3A" w:rsidRPr="00A03538">
        <w:rPr>
          <w:rFonts w:ascii="Gotham" w:hAnsi="Gotham" w:cs="Arial"/>
          <w:i/>
        </w:rPr>
        <w:t xml:space="preserve"> </w:t>
      </w:r>
      <w:r w:rsidRPr="00A03538">
        <w:rPr>
          <w:rFonts w:ascii="Gotham" w:hAnsi="Gotham" w:cs="Arial"/>
          <w:i/>
        </w:rPr>
        <w:t>Seguridad Pública.</w:t>
      </w:r>
    </w:p>
    <w:p w14:paraId="067C1D4A" w14:textId="7B00D3D4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Expedir copias certificadas de los documentos de su actuación y los existentes en sus archivos.</w:t>
      </w:r>
    </w:p>
    <w:p w14:paraId="58A4CA6D" w14:textId="3D5B307E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Mantener actualizado el Sistema Automatizado para la Entrega y Recepción de las unidades administrativas (SISER-WEB), en los</w:t>
      </w:r>
      <w:r w:rsidR="002E7B3A" w:rsidRPr="00A03538">
        <w:rPr>
          <w:rFonts w:ascii="Gotham" w:hAnsi="Gotham" w:cs="Arial"/>
          <w:i/>
        </w:rPr>
        <w:t xml:space="preserve"> </w:t>
      </w:r>
      <w:r w:rsidRPr="00A03538">
        <w:rPr>
          <w:rFonts w:ascii="Gotham" w:hAnsi="Gotham" w:cs="Arial"/>
          <w:i/>
        </w:rPr>
        <w:t>términos que establezcan las disposiciones legales-administrativas que al efecto se señalen.</w:t>
      </w:r>
    </w:p>
    <w:p w14:paraId="441C1181" w14:textId="1B8E5418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Dar trámite y atención a las solicitudes de acceso a la información pública que le sean turnadas, de conformidad con la Ley de</w:t>
      </w:r>
      <w:r w:rsidR="002E7B3A" w:rsidRPr="00A03538">
        <w:rPr>
          <w:rFonts w:ascii="Gotham" w:hAnsi="Gotham" w:cs="Arial"/>
          <w:i/>
        </w:rPr>
        <w:t xml:space="preserve"> </w:t>
      </w:r>
      <w:r w:rsidRPr="00A03538">
        <w:rPr>
          <w:rFonts w:ascii="Gotham" w:hAnsi="Gotham" w:cs="Arial"/>
          <w:i/>
        </w:rPr>
        <w:t>Transparencia y Acceso a la Información Pública del Estado de México y Municipios.</w:t>
      </w:r>
    </w:p>
    <w:p w14:paraId="1D4E850F" w14:textId="4DB97B9F" w:rsidR="00696AD1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Analizar, actualizar y validar la información pública de oficio en el Sistema IPOMEX, de acuerdo a sus atribuciones y ámbito de</w:t>
      </w:r>
      <w:r w:rsidR="002E7B3A" w:rsidRPr="00A03538">
        <w:rPr>
          <w:rFonts w:ascii="Gotham" w:hAnsi="Gotham" w:cs="Arial"/>
          <w:i/>
        </w:rPr>
        <w:t xml:space="preserve"> </w:t>
      </w:r>
      <w:r w:rsidRPr="00A03538">
        <w:rPr>
          <w:rFonts w:ascii="Gotham" w:hAnsi="Gotham" w:cs="Arial"/>
          <w:i/>
        </w:rPr>
        <w:t>competencia.</w:t>
      </w:r>
    </w:p>
    <w:p w14:paraId="7D19B374" w14:textId="1527D8AF" w:rsidR="00625B40" w:rsidRPr="00A03538" w:rsidRDefault="00696AD1" w:rsidP="00696AD1">
      <w:pPr>
        <w:numPr>
          <w:ilvl w:val="0"/>
          <w:numId w:val="4"/>
        </w:numPr>
        <w:tabs>
          <w:tab w:val="left" w:pos="9072"/>
        </w:tabs>
        <w:spacing w:after="0" w:line="240" w:lineRule="atLeast"/>
        <w:ind w:left="-284" w:right="-516" w:hanging="142"/>
        <w:jc w:val="both"/>
        <w:rPr>
          <w:rFonts w:ascii="Gotham" w:hAnsi="Gotham" w:cs="Arial"/>
          <w:i/>
        </w:rPr>
      </w:pPr>
      <w:r w:rsidRPr="00A03538">
        <w:rPr>
          <w:rFonts w:ascii="Gotham" w:hAnsi="Gotham" w:cs="Arial"/>
          <w:i/>
        </w:rPr>
        <w:t>Desarrollar las demás funciones inherentes al área de su competencia</w:t>
      </w:r>
      <w:r w:rsidR="00A03538">
        <w:rPr>
          <w:rFonts w:ascii="Gotham" w:hAnsi="Gotham" w:cs="Arial"/>
          <w:i/>
        </w:rPr>
        <w:t>”</w:t>
      </w:r>
      <w:r w:rsidR="00625B40" w:rsidRPr="00A03538">
        <w:rPr>
          <w:rFonts w:ascii="Gotham" w:hAnsi="Gotham" w:cs="Arial"/>
          <w:i/>
          <w:iCs/>
        </w:rPr>
        <w:t xml:space="preserve"> </w:t>
      </w:r>
      <w:r w:rsidR="00625B40" w:rsidRPr="00A03538">
        <w:rPr>
          <w:rFonts w:ascii="Gotham" w:hAnsi="Gotham" w:cs="Arial"/>
          <w:b/>
          <w:bCs/>
          <w:i/>
          <w:iCs/>
        </w:rPr>
        <w:t>(sic)</w:t>
      </w:r>
    </w:p>
    <w:p w14:paraId="5E0654F6" w14:textId="77777777" w:rsidR="00625B40" w:rsidRPr="00A03538" w:rsidRDefault="00625B40" w:rsidP="00625B40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</w:p>
    <w:p w14:paraId="33F649E5" w14:textId="2CFFCA98" w:rsidR="00625B40" w:rsidRPr="00A03538" w:rsidRDefault="00625B40" w:rsidP="00625B40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  <w:r w:rsidRPr="00A03538">
        <w:rPr>
          <w:rFonts w:ascii="Gotham" w:hAnsi="Gotham" w:cs="Arial"/>
          <w:sz w:val="24"/>
          <w:szCs w:val="24"/>
        </w:rPr>
        <w:t xml:space="preserve">Con respecto a “… </w:t>
      </w:r>
      <w:r w:rsidRPr="00A03538">
        <w:rPr>
          <w:rFonts w:ascii="Gotham" w:hAnsi="Gotham" w:cs="Arial"/>
          <w:i/>
          <w:iCs/>
          <w:sz w:val="24"/>
          <w:szCs w:val="24"/>
        </w:rPr>
        <w:t xml:space="preserve">su experiencia en seguridad publica …” </w:t>
      </w:r>
      <w:r w:rsidRPr="00A03538">
        <w:rPr>
          <w:rFonts w:ascii="Gotham" w:hAnsi="Gotham" w:cs="Arial"/>
          <w:sz w:val="24"/>
          <w:szCs w:val="24"/>
        </w:rPr>
        <w:t>es importante precisar que la información se proporciona</w:t>
      </w:r>
      <w:r w:rsidRPr="00A03538">
        <w:rPr>
          <w:rFonts w:ascii="Gotham" w:hAnsi="Gotham" w:cs="Arial"/>
          <w:bCs/>
          <w:sz w:val="24"/>
          <w:szCs w:val="24"/>
        </w:rPr>
        <w:t xml:space="preserve"> en el </w:t>
      </w:r>
      <w:r w:rsidRPr="00A03538">
        <w:rPr>
          <w:rFonts w:ascii="Gotham" w:hAnsi="Gotham" w:cs="Arial"/>
          <w:b/>
          <w:sz w:val="24"/>
          <w:szCs w:val="24"/>
        </w:rPr>
        <w:t>estado en que se posee</w:t>
      </w:r>
      <w:r w:rsidRPr="00A03538">
        <w:rPr>
          <w:rFonts w:ascii="Gotham" w:hAnsi="Gotham" w:cs="Arial"/>
          <w:bCs/>
          <w:sz w:val="24"/>
          <w:szCs w:val="24"/>
        </w:rPr>
        <w:t xml:space="preserve">, lo anterior con fundamento en el </w:t>
      </w:r>
      <w:r w:rsidRPr="00A03538">
        <w:rPr>
          <w:rFonts w:ascii="Gotham" w:hAnsi="Gotham" w:cs="Arial"/>
          <w:bCs/>
          <w:iCs/>
          <w:sz w:val="24"/>
          <w:szCs w:val="24"/>
        </w:rPr>
        <w:t>artículo 12 de la Ley de Transparencia y Acceso a la Información Pública del Estado de México y Municipios, el cual dispone:</w:t>
      </w:r>
    </w:p>
    <w:p w14:paraId="6531313E" w14:textId="77777777" w:rsidR="00A03538" w:rsidRDefault="00A03538" w:rsidP="00625B40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075A3362" w14:textId="379834DF" w:rsidR="00625B40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>“Artículo 12…</w:t>
      </w:r>
    </w:p>
    <w:p w14:paraId="71071407" w14:textId="77777777" w:rsidR="00A03538" w:rsidRPr="00A03538" w:rsidRDefault="00A03538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2A71DC4B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Los sujetos obligados sólo proporcionarán la información pública que se les requiera y que obre en sus archivos y 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>en el estado en que ésta se encuentre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. La obligación de proporcionar información no comprende el procesamiento de la misma, 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>ni el presentarla conforme al interés del solicitante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>; no estarán obligados a generarla, resumirla, efectuar cálculos o practicar investigaciones.” (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>énfasis añadido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>)</w:t>
      </w:r>
    </w:p>
    <w:p w14:paraId="6D1CEABB" w14:textId="77777777" w:rsidR="00625B40" w:rsidRPr="00A03538" w:rsidRDefault="00625B40" w:rsidP="00625B40">
      <w:pPr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</w:p>
    <w:p w14:paraId="4CA2B5E6" w14:textId="329DE5CB" w:rsidR="00625B40" w:rsidRPr="00A03538" w:rsidRDefault="00625B40" w:rsidP="00625B40">
      <w:pPr>
        <w:spacing w:after="0" w:line="240" w:lineRule="atLeast"/>
        <w:ind w:left="-426" w:right="-658"/>
        <w:jc w:val="both"/>
        <w:rPr>
          <w:rFonts w:ascii="Gotham" w:hAnsi="Gotham" w:cs="Arial"/>
          <w:sz w:val="24"/>
          <w:szCs w:val="24"/>
        </w:rPr>
      </w:pPr>
      <w:r w:rsidRPr="00A03538">
        <w:rPr>
          <w:rFonts w:ascii="Gotham" w:hAnsi="Gotham" w:cs="Arial"/>
          <w:sz w:val="24"/>
          <w:szCs w:val="24"/>
        </w:rPr>
        <w:t>Y, que corresponde a la información siguiente</w:t>
      </w:r>
      <w:r w:rsidR="002E7B3A" w:rsidRPr="00A03538">
        <w:rPr>
          <w:rFonts w:ascii="Gotham" w:hAnsi="Gotham" w:cs="Arial"/>
          <w:sz w:val="24"/>
          <w:szCs w:val="24"/>
        </w:rPr>
        <w:t>:</w:t>
      </w:r>
    </w:p>
    <w:p w14:paraId="10D58DA9" w14:textId="77777777" w:rsidR="002E7B3A" w:rsidRPr="00A03538" w:rsidRDefault="002E7B3A" w:rsidP="00625B40">
      <w:pPr>
        <w:spacing w:after="0" w:line="240" w:lineRule="atLeast"/>
        <w:ind w:left="-426" w:right="-658"/>
        <w:jc w:val="both"/>
        <w:rPr>
          <w:rFonts w:ascii="Gotham" w:hAnsi="Gotham" w:cs="Arial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30"/>
      </w:tblGrid>
      <w:tr w:rsidR="002E7B3A" w:rsidRPr="00A03538" w14:paraId="19EB83E3" w14:textId="77777777" w:rsidTr="00312A40">
        <w:trPr>
          <w:trHeight w:val="666"/>
          <w:jc w:val="center"/>
        </w:trPr>
        <w:tc>
          <w:tcPr>
            <w:tcW w:w="8830" w:type="dxa"/>
            <w:tcBorders>
              <w:top w:val="nil"/>
              <w:left w:val="nil"/>
              <w:bottom w:val="single" w:sz="18" w:space="0" w:color="A6A6A6" w:themeColor="background1" w:themeShade="A6"/>
              <w:right w:val="nil"/>
            </w:tcBorders>
            <w:vAlign w:val="center"/>
          </w:tcPr>
          <w:p w14:paraId="77788DF4" w14:textId="77777777" w:rsidR="002E7B3A" w:rsidRPr="00A03538" w:rsidRDefault="002E7B3A" w:rsidP="00312A40">
            <w:pPr>
              <w:spacing w:line="240" w:lineRule="atLeast"/>
              <w:ind w:right="-658"/>
              <w:jc w:val="center"/>
              <w:rPr>
                <w:rFonts w:ascii="Gotham" w:hAnsi="Gotham" w:cs="Arial"/>
                <w:b/>
                <w:bCs/>
                <w:color w:val="767171" w:themeColor="background2" w:themeShade="80"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color w:val="767171" w:themeColor="background2" w:themeShade="80"/>
                <w:sz w:val="24"/>
                <w:szCs w:val="24"/>
              </w:rPr>
              <w:lastRenderedPageBreak/>
              <w:t>Ing. Adrián Teodoro</w:t>
            </w:r>
          </w:p>
          <w:p w14:paraId="581ADF0B" w14:textId="66EAD408" w:rsidR="002E7B3A" w:rsidRPr="00A03538" w:rsidRDefault="002E7B3A" w:rsidP="00312A40">
            <w:pPr>
              <w:spacing w:line="240" w:lineRule="atLeast"/>
              <w:ind w:right="-658"/>
              <w:jc w:val="center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color w:val="767171" w:themeColor="background2" w:themeShade="80"/>
                <w:sz w:val="24"/>
                <w:szCs w:val="24"/>
              </w:rPr>
              <w:t>González Juárez</w:t>
            </w:r>
          </w:p>
        </w:tc>
      </w:tr>
      <w:tr w:rsidR="002E7B3A" w:rsidRPr="00A03538" w14:paraId="62DA0F5D" w14:textId="77777777" w:rsidTr="00312A40">
        <w:trPr>
          <w:trHeight w:val="340"/>
          <w:jc w:val="center"/>
        </w:trPr>
        <w:tc>
          <w:tcPr>
            <w:tcW w:w="8830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vAlign w:val="bottom"/>
          </w:tcPr>
          <w:p w14:paraId="7B2F5B9A" w14:textId="0399BBBC" w:rsidR="002E7B3A" w:rsidRPr="00A03538" w:rsidRDefault="002E7B3A" w:rsidP="00312A40">
            <w:pPr>
              <w:spacing w:line="240" w:lineRule="atLeast"/>
              <w:ind w:right="-658"/>
              <w:jc w:val="center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Experiencia</w:t>
            </w:r>
          </w:p>
        </w:tc>
      </w:tr>
      <w:tr w:rsidR="002E7B3A" w:rsidRPr="00A03538" w14:paraId="3DCCE072" w14:textId="77777777" w:rsidTr="00312A40">
        <w:trPr>
          <w:jc w:val="center"/>
        </w:trPr>
        <w:tc>
          <w:tcPr>
            <w:tcW w:w="8830" w:type="dxa"/>
            <w:tcBorders>
              <w:top w:val="single" w:sz="18" w:space="0" w:color="A6A6A6" w:themeColor="background1" w:themeShade="A6"/>
              <w:left w:val="nil"/>
              <w:bottom w:val="nil"/>
              <w:right w:val="nil"/>
            </w:tcBorders>
          </w:tcPr>
          <w:p w14:paraId="74464E62" w14:textId="4A56C46E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Febrero 2022 - Julio 2024</w:t>
            </w:r>
          </w:p>
          <w:p w14:paraId="4839FC96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Director para el Trabajo y Previsión Social</w:t>
            </w:r>
          </w:p>
          <w:p w14:paraId="739BF169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Trabajo y Fomento al Empleo</w:t>
            </w:r>
          </w:p>
          <w:p w14:paraId="47F096F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40895111" w14:textId="65A934C4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Diciembre 2018 - Agosto 2020.</w:t>
            </w:r>
          </w:p>
          <w:p w14:paraId="6EF7BFD5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Director General de Planeación y Seguimiento a la Economía.</w:t>
            </w:r>
          </w:p>
          <w:p w14:paraId="3187333C" w14:textId="6A4CA1A1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Septiembre 2020- Enero 2021.</w:t>
            </w:r>
          </w:p>
          <w:p w14:paraId="2AC54B2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Director Ejecutivo de Planeación y Seguimiento a la Economía.</w:t>
            </w:r>
          </w:p>
          <w:p w14:paraId="6DE10682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Desarrollo Económico</w:t>
            </w:r>
          </w:p>
          <w:p w14:paraId="69CCA115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6CC3A648" w14:textId="3E26991C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Junio 2017-Septiembre 2018</w:t>
            </w:r>
            <w:r w:rsidRPr="00A03538">
              <w:rPr>
                <w:rFonts w:ascii="Gotham" w:hAnsi="Gotham" w:cs="Arial"/>
                <w:sz w:val="24"/>
                <w:szCs w:val="24"/>
              </w:rPr>
              <w:t>.</w:t>
            </w:r>
          </w:p>
          <w:p w14:paraId="28CEF824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Director de Gobierno.</w:t>
            </w:r>
          </w:p>
          <w:p w14:paraId="408C64E9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352C4819" w14:textId="42EAB0C6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Octubre 2015 - mayo 2017.</w:t>
            </w:r>
          </w:p>
          <w:p w14:paraId="7ED6C557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J.U.D. de Vía Pública.</w:t>
            </w:r>
          </w:p>
          <w:p w14:paraId="105D87C7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Delegación Tlalpan</w:t>
            </w:r>
          </w:p>
          <w:p w14:paraId="0227642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6F2EA9CB" w14:textId="36DC534A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Enero 2013 - Octubre 2015.</w:t>
            </w:r>
          </w:p>
          <w:p w14:paraId="6C34BC0B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Coordinador de proyectos.</w:t>
            </w:r>
          </w:p>
          <w:p w14:paraId="3E1ED00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Consultoría y Servicios Interdisciplinarios PAVILLE</w:t>
            </w:r>
            <w:r w:rsidRPr="00A03538">
              <w:rPr>
                <w:rFonts w:ascii="Gotham" w:hAnsi="Gotham" w:cs="Arial"/>
                <w:sz w:val="24"/>
                <w:szCs w:val="24"/>
              </w:rPr>
              <w:t>.</w:t>
            </w:r>
          </w:p>
          <w:p w14:paraId="23C789CA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3F1F9B3F" w14:textId="31AF0E62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Mayo 2011 -Junio 2012.</w:t>
            </w:r>
          </w:p>
          <w:p w14:paraId="3A939FA5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Subdirector Regional Sur.</w:t>
            </w:r>
          </w:p>
          <w:p w14:paraId="4C605C06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Gobierno / Dirección General de Asuntos Agrarios</w:t>
            </w:r>
          </w:p>
          <w:p w14:paraId="3CBD9164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27B73F47" w14:textId="250E9D84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Octubre 2008 - Abril 2011.</w:t>
            </w:r>
          </w:p>
          <w:p w14:paraId="3C034C41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J.U.D. de Diagnóstico y Programas.</w:t>
            </w:r>
          </w:p>
          <w:p w14:paraId="65911BB3" w14:textId="50A8EE7F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Gobierno / Dirección General de Tratamiento para Adolescente.</w:t>
            </w:r>
          </w:p>
          <w:p w14:paraId="629DFFFF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0AE083D0" w14:textId="633E2854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Marzo 2002 - Diciembre 2006.</w:t>
            </w:r>
          </w:p>
          <w:p w14:paraId="622D779C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J.U.D. de Operación.</w:t>
            </w:r>
          </w:p>
          <w:p w14:paraId="05528C9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Gobierno / Dirección General de Gobierno.</w:t>
            </w:r>
          </w:p>
          <w:p w14:paraId="672AEC2B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4AE84C6E" w14:textId="172E7DA2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Junio 1999 - Septiembre 2000.</w:t>
            </w:r>
          </w:p>
          <w:p w14:paraId="4CC8EE0E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Coordinador del Programa de Reordenamiento de Comercio en Vía Pública.</w:t>
            </w:r>
          </w:p>
          <w:p w14:paraId="53615D9C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Octubre 2000 - Abril 2001.</w:t>
            </w:r>
          </w:p>
          <w:p w14:paraId="5951114C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Coordinador del Programa de Reordenamiento de Comercio en Vía Pública.</w:t>
            </w:r>
          </w:p>
          <w:p w14:paraId="1611727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Delegación Iztapalapa / Delegación Coyoacán</w:t>
            </w:r>
          </w:p>
          <w:p w14:paraId="51E39D3C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</w:p>
          <w:p w14:paraId="3661219D" w14:textId="78DB42DC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b/>
                <w:bCs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Octubre 1998 - junio 1999.</w:t>
            </w:r>
          </w:p>
          <w:p w14:paraId="47534A78" w14:textId="77777777" w:rsidR="00312A40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sz w:val="24"/>
                <w:szCs w:val="24"/>
              </w:rPr>
              <w:t>Jefe de Grupo en la Delegación Iztapalapa</w:t>
            </w:r>
          </w:p>
          <w:p w14:paraId="628C5CB1" w14:textId="615CAD8A" w:rsidR="002E7B3A" w:rsidRPr="00A03538" w:rsidRDefault="00312A40" w:rsidP="00312A40">
            <w:pPr>
              <w:spacing w:line="240" w:lineRule="atLeast"/>
              <w:ind w:right="-658"/>
              <w:jc w:val="both"/>
              <w:rPr>
                <w:rFonts w:ascii="Gotham" w:hAnsi="Gotham" w:cs="Arial"/>
                <w:sz w:val="24"/>
                <w:szCs w:val="24"/>
              </w:rPr>
            </w:pPr>
            <w:r w:rsidRPr="00A03538">
              <w:rPr>
                <w:rFonts w:ascii="Gotham" w:hAnsi="Gotham" w:cs="Arial"/>
                <w:b/>
                <w:bCs/>
                <w:sz w:val="24"/>
                <w:szCs w:val="24"/>
              </w:rPr>
              <w:t>Secretaría de Gobierno / Dirección General de Participación Ciudadana</w:t>
            </w:r>
          </w:p>
        </w:tc>
      </w:tr>
    </w:tbl>
    <w:p w14:paraId="300626ED" w14:textId="77777777" w:rsidR="002E7B3A" w:rsidRPr="00A03538" w:rsidRDefault="002E7B3A" w:rsidP="00625B40">
      <w:pPr>
        <w:spacing w:after="0" w:line="240" w:lineRule="atLeast"/>
        <w:ind w:left="-426" w:right="-658"/>
        <w:jc w:val="both"/>
        <w:rPr>
          <w:rFonts w:ascii="Gotham" w:hAnsi="Gotham" w:cs="Arial"/>
          <w:sz w:val="24"/>
          <w:szCs w:val="24"/>
        </w:rPr>
      </w:pPr>
    </w:p>
    <w:p w14:paraId="6DD59F8F" w14:textId="37CA6B63" w:rsidR="007605F6" w:rsidRPr="00A03538" w:rsidRDefault="007605F6" w:rsidP="007605F6">
      <w:pPr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  <w:r w:rsidRPr="00A03538">
        <w:rPr>
          <w:rFonts w:ascii="Gotham" w:hAnsi="Gotham" w:cs="Arial"/>
          <w:sz w:val="24"/>
          <w:szCs w:val="24"/>
        </w:rPr>
        <w:lastRenderedPageBreak/>
        <w:t xml:space="preserve">Concerniente a </w:t>
      </w:r>
      <w:r w:rsidRPr="00A03538">
        <w:rPr>
          <w:rFonts w:ascii="Gotham" w:hAnsi="Gotham" w:cs="Arial"/>
          <w:i/>
          <w:iCs/>
          <w:sz w:val="24"/>
          <w:szCs w:val="24"/>
        </w:rPr>
        <w:t xml:space="preserve">“…su estado ante el centro de control de </w:t>
      </w:r>
      <w:proofErr w:type="spellStart"/>
      <w:r w:rsidRPr="00A03538">
        <w:rPr>
          <w:rFonts w:ascii="Gotham" w:hAnsi="Gotham" w:cs="Arial"/>
          <w:i/>
          <w:iCs/>
          <w:sz w:val="24"/>
          <w:szCs w:val="24"/>
        </w:rPr>
        <w:t>cofianza</w:t>
      </w:r>
      <w:proofErr w:type="spellEnd"/>
      <w:r w:rsidRPr="00A03538">
        <w:rPr>
          <w:rFonts w:ascii="Gotham" w:hAnsi="Gotham" w:cs="Arial"/>
          <w:i/>
          <w:iCs/>
          <w:sz w:val="24"/>
          <w:szCs w:val="24"/>
        </w:rPr>
        <w:t>.”</w:t>
      </w:r>
      <w:r w:rsidRPr="00A03538">
        <w:rPr>
          <w:rFonts w:ascii="Gotham" w:hAnsi="Gotham" w:cs="Arial"/>
          <w:sz w:val="24"/>
          <w:szCs w:val="24"/>
        </w:rPr>
        <w:t>,</w:t>
      </w:r>
      <w:r w:rsidRPr="00A03538">
        <w:rPr>
          <w:rFonts w:ascii="Gotham" w:hAnsi="Gotham" w:cs="Arial"/>
          <w:i/>
          <w:iCs/>
          <w:sz w:val="24"/>
          <w:szCs w:val="24"/>
        </w:rPr>
        <w:t xml:space="preserve"> </w:t>
      </w:r>
      <w:r w:rsidRPr="00A03538">
        <w:rPr>
          <w:rFonts w:ascii="Gotham" w:hAnsi="Gotham" w:cs="Arial"/>
          <w:sz w:val="24"/>
          <w:szCs w:val="24"/>
        </w:rPr>
        <w:t>e</w:t>
      </w:r>
      <w:r w:rsidRPr="00A03538">
        <w:rPr>
          <w:rFonts w:ascii="Gotham" w:hAnsi="Gotham" w:cs="Arial"/>
          <w:bCs/>
          <w:sz w:val="24"/>
          <w:szCs w:val="24"/>
        </w:rPr>
        <w:t xml:space="preserve">s importante hacer de su conocimiento que, </w:t>
      </w:r>
      <w:r w:rsidRPr="00A03538">
        <w:rPr>
          <w:rFonts w:ascii="Gotham" w:hAnsi="Gotham" w:cs="Arial"/>
          <w:sz w:val="24"/>
          <w:szCs w:val="24"/>
        </w:rPr>
        <w:t>el estado es en “proceso”.</w:t>
      </w:r>
    </w:p>
    <w:p w14:paraId="375711C2" w14:textId="6B8685BC" w:rsidR="007605F6" w:rsidRPr="00A03538" w:rsidRDefault="007605F6" w:rsidP="007605F6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63413655" w14:textId="5BCE2EFC" w:rsidR="007605F6" w:rsidRPr="00A03538" w:rsidRDefault="007605F6" w:rsidP="007605F6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03538">
        <w:rPr>
          <w:rFonts w:ascii="Gotham" w:hAnsi="Gotham" w:cs="Arial"/>
          <w:bCs/>
          <w:sz w:val="24"/>
          <w:szCs w:val="24"/>
        </w:rPr>
        <w:t>Cabe aclarar que,</w:t>
      </w:r>
      <w:r w:rsidRPr="00A03538">
        <w:rPr>
          <w:rFonts w:ascii="Gotham" w:hAnsi="Gotham" w:cs="Arial"/>
          <w:b/>
          <w:sz w:val="24"/>
          <w:szCs w:val="24"/>
        </w:rPr>
        <w:t xml:space="preserve"> la persona responsable para proporcionar la presente respuesta es quien suscribe como Titular de la Unidad de Transparencia</w:t>
      </w:r>
      <w:r w:rsidRPr="00A03538">
        <w:rPr>
          <w:rFonts w:ascii="Gotham" w:hAnsi="Gotham" w:cs="Arial"/>
          <w:bCs/>
          <w:sz w:val="24"/>
          <w:szCs w:val="24"/>
        </w:rPr>
        <w:t xml:space="preserve">, esta aclaración se realiza, en cumplimiento al artículo 162 de la Ley de Transparencia y Acceso a la Información Pública del Estado de México y Municipios, </w:t>
      </w:r>
      <w:r w:rsidRPr="00A03538">
        <w:rPr>
          <w:rFonts w:ascii="Gotham" w:hAnsi="Gotham" w:cs="Arial"/>
          <w:b/>
          <w:sz w:val="24"/>
          <w:szCs w:val="24"/>
        </w:rPr>
        <w:t>ya que la Unidad de Transparencia y el Área competente en este caso es la misma Unidad Administrativa</w:t>
      </w:r>
      <w:r w:rsidRPr="00A03538">
        <w:rPr>
          <w:rFonts w:ascii="Gotham" w:hAnsi="Gotham" w:cs="Arial"/>
          <w:bCs/>
          <w:sz w:val="24"/>
          <w:szCs w:val="24"/>
        </w:rPr>
        <w:t>, y que a la letra dispone:</w:t>
      </w:r>
      <w:r w:rsidRPr="00A03538">
        <w:rPr>
          <w:rFonts w:ascii="Gotham" w:hAnsi="Gotham" w:cs="Arial"/>
          <w:bCs/>
          <w:i/>
          <w:iCs/>
          <w:sz w:val="24"/>
          <w:szCs w:val="24"/>
        </w:rPr>
        <w:t xml:space="preserve"> </w:t>
      </w:r>
      <w:r w:rsidRPr="00A03538">
        <w:rPr>
          <w:rFonts w:ascii="Gotham" w:hAnsi="Gotham" w:cs="Arial"/>
          <w:b/>
          <w:i/>
          <w:iCs/>
          <w:sz w:val="24"/>
          <w:szCs w:val="24"/>
        </w:rPr>
        <w:t>“Artículo 162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. Las unidades de transparencia deberán garantizar que las solicitudes se turnen a todas las Áreas competentes </w:t>
      </w:r>
      <w:r w:rsidR="00071C90" w:rsidRPr="00A03538">
        <w:rPr>
          <w:rFonts w:ascii="Gotham" w:hAnsi="Gotham" w:cs="Arial"/>
          <w:b/>
          <w:bCs/>
          <w:i/>
          <w:iCs/>
          <w:sz w:val="24"/>
          <w:szCs w:val="24"/>
        </w:rPr>
        <w:t>..</w:t>
      </w:r>
      <w:r w:rsidRPr="00A03538">
        <w:rPr>
          <w:rFonts w:ascii="Gotham" w:hAnsi="Gotham" w:cs="Arial"/>
          <w:i/>
          <w:iCs/>
          <w:sz w:val="24"/>
          <w:szCs w:val="24"/>
        </w:rPr>
        <w:t>.”</w:t>
      </w:r>
      <w:r w:rsidRPr="00A0353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57CE4FEA" w14:textId="77777777" w:rsidR="007605F6" w:rsidRPr="00A03538" w:rsidRDefault="007605F6" w:rsidP="007605F6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20DCB993" w14:textId="77777777" w:rsidR="007605F6" w:rsidRPr="00A03538" w:rsidRDefault="007605F6" w:rsidP="007605F6">
      <w:pPr>
        <w:spacing w:after="0" w:line="240" w:lineRule="atLeast"/>
        <w:ind w:left="-426" w:right="-516"/>
        <w:jc w:val="both"/>
        <w:rPr>
          <w:rFonts w:ascii="Gotham" w:eastAsia="Times New Roman" w:hAnsi="Gotham" w:cs="Bw Modelica Cyrillic DEMO"/>
          <w:bCs/>
          <w:iCs/>
          <w:sz w:val="24"/>
          <w:szCs w:val="24"/>
        </w:rPr>
      </w:pPr>
      <w:r w:rsidRPr="00A0353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En espera de que la información brindada por este Sujeto Obligado le sea de utilidad, </w:t>
      </w:r>
      <w:r w:rsidRPr="00A03538">
        <w:rPr>
          <w:rFonts w:ascii="Gotham" w:eastAsia="Times New Roman" w:hAnsi="Gotham" w:cs="Bw Modelica Cyrillic DEMO"/>
          <w:bCs/>
          <w:sz w:val="24"/>
          <w:szCs w:val="24"/>
        </w:rPr>
        <w:t>reciba un cordial saludo;</w:t>
      </w:r>
      <w:r w:rsidRPr="00A0353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 por otra parte, y en caso de que lo requiera, se le informa del derecho con el que cuenta para promover el recurso de revisión, el cual se encuentra establecido en los artículos 178, 179 y 180</w:t>
      </w:r>
      <w:r w:rsidRPr="00A03538">
        <w:rPr>
          <w:rFonts w:ascii="Gotham" w:eastAsia="Times New Roman" w:hAnsi="Gotham" w:cs="Bw Modelica Cyrillic DEMO"/>
          <w:bCs/>
          <w:sz w:val="24"/>
          <w:szCs w:val="24"/>
        </w:rPr>
        <w:t xml:space="preserve"> de la Ley de Transparencia y Acceso a la Información Pública del Estado de México y Municipios</w:t>
      </w:r>
      <w:r w:rsidRPr="00A0353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, y que contemplan el plazo de quince días hábiles siguientes a la fecha de la notificación de la respuesta, así como las causales de procedencia y los requisitos que debe contener. </w:t>
      </w:r>
    </w:p>
    <w:p w14:paraId="4C4C6BA5" w14:textId="77777777" w:rsidR="003161E8" w:rsidRPr="00A03538" w:rsidRDefault="003161E8" w:rsidP="00AD2966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606688BA" w14:textId="77777777" w:rsidR="0054723C" w:rsidRPr="00A03538" w:rsidRDefault="0054723C" w:rsidP="00AD2966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339C7496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/>
          <w:sz w:val="24"/>
          <w:szCs w:val="24"/>
          <w:lang w:val="de-DE"/>
        </w:rPr>
      </w:pPr>
      <w:r w:rsidRPr="00A03538">
        <w:rPr>
          <w:rFonts w:ascii="Gotham Bold" w:hAnsi="Gotham Bold"/>
          <w:b/>
          <w:sz w:val="24"/>
          <w:szCs w:val="24"/>
          <w:lang w:val="de-DE"/>
        </w:rPr>
        <w:t>A T E N T A M E N T E</w:t>
      </w:r>
    </w:p>
    <w:p w14:paraId="14318020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4A0D191A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36AD7986" w14:textId="77777777" w:rsidR="0054723C" w:rsidRPr="00A03538" w:rsidRDefault="0054723C" w:rsidP="00AD2966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7388CD3D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62369259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62993D77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A03538">
        <w:rPr>
          <w:rFonts w:ascii="Gotham Bold" w:hAnsi="Gotham Bold"/>
          <w:b/>
          <w:bCs/>
          <w:sz w:val="24"/>
          <w:szCs w:val="24"/>
        </w:rPr>
        <w:t>LIC. ARNOLD ZARATE PADILLA</w:t>
      </w:r>
    </w:p>
    <w:p w14:paraId="2BD7F5F8" w14:textId="77777777" w:rsidR="003161E8" w:rsidRPr="00A03538" w:rsidRDefault="003161E8" w:rsidP="00AD2966">
      <w:pPr>
        <w:spacing w:after="0" w:line="240" w:lineRule="atLeast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A03538">
        <w:rPr>
          <w:rFonts w:ascii="Gotham Bold" w:hAnsi="Gotham Bold"/>
          <w:b/>
          <w:bCs/>
          <w:sz w:val="24"/>
          <w:szCs w:val="24"/>
        </w:rPr>
        <w:t>TITULAR DE LA UNIDAD DE TRANSPARENCIA DEL SECRETARIADO</w:t>
      </w:r>
    </w:p>
    <w:p w14:paraId="1703E89D" w14:textId="77777777" w:rsidR="003161E8" w:rsidRPr="00A03538" w:rsidRDefault="003161E8" w:rsidP="00AD2966">
      <w:pPr>
        <w:spacing w:after="0" w:line="240" w:lineRule="auto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A03538">
        <w:rPr>
          <w:rFonts w:ascii="Gotham Bold" w:hAnsi="Gotham Bold"/>
          <w:b/>
          <w:bCs/>
          <w:sz w:val="24"/>
          <w:szCs w:val="24"/>
        </w:rPr>
        <w:t>EJECUTIVO DEL SISTEMA ESTATAL DE SEGURIDAD PÚBLICA</w:t>
      </w:r>
    </w:p>
    <w:p w14:paraId="708ADAF4" w14:textId="328AF86F" w:rsidR="003161E8" w:rsidRPr="00A03538" w:rsidRDefault="003161E8" w:rsidP="0054723C">
      <w:pPr>
        <w:spacing w:after="0" w:line="240" w:lineRule="auto"/>
        <w:ind w:left="-426" w:right="-658"/>
        <w:rPr>
          <w:sz w:val="12"/>
          <w:szCs w:val="12"/>
        </w:rPr>
      </w:pPr>
      <w:r w:rsidRPr="00A03538">
        <w:rPr>
          <w:rFonts w:ascii="Gotham Bold" w:eastAsia="Times New Roman" w:hAnsi="Gotham Bold" w:cs="Times New Roman"/>
          <w:color w:val="000000" w:themeColor="text1"/>
          <w:sz w:val="12"/>
          <w:szCs w:val="12"/>
        </w:rPr>
        <w:t xml:space="preserve">Elaboró. </w:t>
      </w:r>
      <w:r w:rsidR="00A03538" w:rsidRPr="00A03538">
        <w:rPr>
          <w:rFonts w:ascii="Gotham Bold" w:eastAsia="Times New Roman" w:hAnsi="Gotham Bold" w:cs="Times New Roman"/>
          <w:color w:val="000000" w:themeColor="text1"/>
          <w:sz w:val="12"/>
          <w:szCs w:val="12"/>
          <w:lang w:val="en-US"/>
        </w:rPr>
        <w:t>ALCM</w:t>
      </w:r>
    </w:p>
    <w:sectPr w:rsidR="003161E8" w:rsidRPr="00A03538" w:rsidSect="00445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19"/>
      <w:pgMar w:top="1843" w:right="1701" w:bottom="1702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58553" w14:textId="77777777" w:rsidR="008F38F8" w:rsidRDefault="008F38F8">
      <w:pPr>
        <w:spacing w:after="0" w:line="240" w:lineRule="auto"/>
      </w:pPr>
      <w:r>
        <w:separator/>
      </w:r>
    </w:p>
  </w:endnote>
  <w:endnote w:type="continuationSeparator" w:id="0">
    <w:p w14:paraId="508F75AF" w14:textId="77777777" w:rsidR="008F38F8" w:rsidRDefault="008F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altName w:val="Gotham"/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2798D" w14:textId="77777777" w:rsidR="0078064B" w:rsidRDefault="007806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AEE0" w14:textId="77777777" w:rsidR="00333BC5" w:rsidRPr="00BA7858" w:rsidRDefault="00333BC5" w:rsidP="00E45619">
    <w:pPr>
      <w:pStyle w:val="Sinespaciado"/>
      <w:rPr>
        <w:rFonts w:ascii="Gotham" w:hAnsi="Gotham"/>
        <w:sz w:val="18"/>
        <w:szCs w:val="18"/>
      </w:rPr>
    </w:pPr>
  </w:p>
  <w:p w14:paraId="4778A483" w14:textId="77777777" w:rsidR="00333BC5" w:rsidRDefault="00333BC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B5EF0" w14:textId="77777777" w:rsidR="0078064B" w:rsidRDefault="007806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4BE1B" w14:textId="77777777" w:rsidR="008F38F8" w:rsidRDefault="008F38F8">
      <w:pPr>
        <w:spacing w:after="0" w:line="240" w:lineRule="auto"/>
      </w:pPr>
      <w:r>
        <w:separator/>
      </w:r>
    </w:p>
  </w:footnote>
  <w:footnote w:type="continuationSeparator" w:id="0">
    <w:p w14:paraId="16536705" w14:textId="77777777" w:rsidR="008F38F8" w:rsidRDefault="008F3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9A2CD" w14:textId="77777777" w:rsidR="0078064B" w:rsidRDefault="007806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FEE3" w14:textId="7284AAA8" w:rsidR="00333BC5" w:rsidRDefault="00000000">
    <w:pPr>
      <w:pStyle w:val="Encabezado"/>
    </w:pPr>
    <w:sdt>
      <w:sdtPr>
        <w:id w:val="592982325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51B3EF3F" wp14:editId="7EEE22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21857062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7FAA5" w14:textId="77777777" w:rsidR="00333BC5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B3EF3F" id="Rectángulo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C27FAA5" w14:textId="77777777" w:rsidR="00333BC5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76FC3" w14:textId="77777777" w:rsidR="0078064B" w:rsidRDefault="00780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20912"/>
    <w:multiLevelType w:val="multilevel"/>
    <w:tmpl w:val="6EBC79FA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BC542B4"/>
    <w:multiLevelType w:val="hybridMultilevel"/>
    <w:tmpl w:val="9114111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6FB59D2"/>
    <w:multiLevelType w:val="hybridMultilevel"/>
    <w:tmpl w:val="57B2B502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67D34F29"/>
    <w:multiLevelType w:val="hybridMultilevel"/>
    <w:tmpl w:val="2CB45F6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505">
    <w:abstractNumId w:val="1"/>
  </w:num>
  <w:num w:numId="2" w16cid:durableId="1661737606">
    <w:abstractNumId w:val="2"/>
  </w:num>
  <w:num w:numId="3" w16cid:durableId="1246719976">
    <w:abstractNumId w:val="3"/>
  </w:num>
  <w:num w:numId="4" w16cid:durableId="95494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9E"/>
    <w:rsid w:val="00002110"/>
    <w:rsid w:val="000068FA"/>
    <w:rsid w:val="0000739C"/>
    <w:rsid w:val="000256C8"/>
    <w:rsid w:val="000709CD"/>
    <w:rsid w:val="00071C90"/>
    <w:rsid w:val="00082248"/>
    <w:rsid w:val="000963BA"/>
    <w:rsid w:val="000A6D7C"/>
    <w:rsid w:val="000E5611"/>
    <w:rsid w:val="000F6E57"/>
    <w:rsid w:val="00154374"/>
    <w:rsid w:val="00195358"/>
    <w:rsid w:val="001F0C34"/>
    <w:rsid w:val="001F5FC5"/>
    <w:rsid w:val="00256DA0"/>
    <w:rsid w:val="00266A7A"/>
    <w:rsid w:val="002702E0"/>
    <w:rsid w:val="00275C9B"/>
    <w:rsid w:val="0028458A"/>
    <w:rsid w:val="00295831"/>
    <w:rsid w:val="002E7B3A"/>
    <w:rsid w:val="00312A40"/>
    <w:rsid w:val="003161E8"/>
    <w:rsid w:val="00325E33"/>
    <w:rsid w:val="00333BC5"/>
    <w:rsid w:val="00371C1D"/>
    <w:rsid w:val="00386182"/>
    <w:rsid w:val="003918D3"/>
    <w:rsid w:val="003C098E"/>
    <w:rsid w:val="003F3AB9"/>
    <w:rsid w:val="00436BE3"/>
    <w:rsid w:val="00445616"/>
    <w:rsid w:val="00462FAC"/>
    <w:rsid w:val="004B7688"/>
    <w:rsid w:val="00516173"/>
    <w:rsid w:val="0054723C"/>
    <w:rsid w:val="00572EF2"/>
    <w:rsid w:val="005F1850"/>
    <w:rsid w:val="005F4C8A"/>
    <w:rsid w:val="005F6482"/>
    <w:rsid w:val="00625B40"/>
    <w:rsid w:val="006268F7"/>
    <w:rsid w:val="006562B5"/>
    <w:rsid w:val="0066549A"/>
    <w:rsid w:val="0067014C"/>
    <w:rsid w:val="00696AD1"/>
    <w:rsid w:val="006F3C33"/>
    <w:rsid w:val="0072481A"/>
    <w:rsid w:val="00724DA7"/>
    <w:rsid w:val="007432E3"/>
    <w:rsid w:val="0075583A"/>
    <w:rsid w:val="007605F6"/>
    <w:rsid w:val="007756DF"/>
    <w:rsid w:val="0078064B"/>
    <w:rsid w:val="007F61F7"/>
    <w:rsid w:val="008F38F8"/>
    <w:rsid w:val="00904804"/>
    <w:rsid w:val="009420F9"/>
    <w:rsid w:val="0095442E"/>
    <w:rsid w:val="00954779"/>
    <w:rsid w:val="00975335"/>
    <w:rsid w:val="00982687"/>
    <w:rsid w:val="009B5033"/>
    <w:rsid w:val="009F7323"/>
    <w:rsid w:val="00A03538"/>
    <w:rsid w:val="00A06361"/>
    <w:rsid w:val="00A30522"/>
    <w:rsid w:val="00A700E9"/>
    <w:rsid w:val="00A809A5"/>
    <w:rsid w:val="00A83746"/>
    <w:rsid w:val="00AD2966"/>
    <w:rsid w:val="00AE073B"/>
    <w:rsid w:val="00AE6B36"/>
    <w:rsid w:val="00AF2773"/>
    <w:rsid w:val="00B07629"/>
    <w:rsid w:val="00B433F6"/>
    <w:rsid w:val="00B95F09"/>
    <w:rsid w:val="00BC1C6B"/>
    <w:rsid w:val="00BF6141"/>
    <w:rsid w:val="00C06F9E"/>
    <w:rsid w:val="00C10DAA"/>
    <w:rsid w:val="00C435FA"/>
    <w:rsid w:val="00C51425"/>
    <w:rsid w:val="00C6466A"/>
    <w:rsid w:val="00CB4B33"/>
    <w:rsid w:val="00CB74C1"/>
    <w:rsid w:val="00CE74C5"/>
    <w:rsid w:val="00D30597"/>
    <w:rsid w:val="00D378B3"/>
    <w:rsid w:val="00D4410F"/>
    <w:rsid w:val="00D47345"/>
    <w:rsid w:val="00D577FD"/>
    <w:rsid w:val="00DA06CE"/>
    <w:rsid w:val="00DA10A9"/>
    <w:rsid w:val="00DB5DFE"/>
    <w:rsid w:val="00DC4319"/>
    <w:rsid w:val="00E01979"/>
    <w:rsid w:val="00E31462"/>
    <w:rsid w:val="00E758FB"/>
    <w:rsid w:val="00E7781B"/>
    <w:rsid w:val="00EF1B7F"/>
    <w:rsid w:val="00F00FF7"/>
    <w:rsid w:val="00F52D7D"/>
    <w:rsid w:val="00F57C6F"/>
    <w:rsid w:val="00F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34EE5"/>
  <w15:chartTrackingRefBased/>
  <w15:docId w15:val="{0EB56823-A33A-4DBE-B85B-DDDAD1D1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9E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6F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6F9E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06F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6F9E"/>
    <w:rPr>
      <w:kern w:val="0"/>
      <w14:ligatures w14:val="none"/>
    </w:rPr>
  </w:style>
  <w:style w:type="paragraph" w:styleId="Sinespaciado">
    <w:name w:val="No Spacing"/>
    <w:uiPriority w:val="1"/>
    <w:qFormat/>
    <w:rsid w:val="00C06F9E"/>
    <w:pPr>
      <w:spacing w:after="0" w:line="240" w:lineRule="auto"/>
    </w:pPr>
    <w:rPr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C06F9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70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709C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266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2066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HERNANDEZ SALINAS</dc:creator>
  <cp:keywords/>
  <dc:description/>
  <cp:lastModifiedBy>ALMA LUZ CRUZ MATEO</cp:lastModifiedBy>
  <cp:revision>3</cp:revision>
  <cp:lastPrinted>2024-08-12T23:48:00Z</cp:lastPrinted>
  <dcterms:created xsi:type="dcterms:W3CDTF">2024-08-12T23:49:00Z</dcterms:created>
  <dcterms:modified xsi:type="dcterms:W3CDTF">2024-08-15T18:14:00Z</dcterms:modified>
</cp:coreProperties>
</file>