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B9B92" w14:textId="3A62C66F" w:rsidR="007E573F" w:rsidRPr="00FB26DE" w:rsidRDefault="007E573F" w:rsidP="00307702">
      <w:pPr>
        <w:spacing w:after="0" w:line="240" w:lineRule="atLeast"/>
        <w:ind w:right="-658"/>
      </w:pPr>
    </w:p>
    <w:p w14:paraId="02435410" w14:textId="4D00506A" w:rsidR="00A53916" w:rsidRDefault="00A53916" w:rsidP="00307702">
      <w:pPr>
        <w:spacing w:after="0" w:line="240" w:lineRule="atLeast"/>
        <w:ind w:right="-516"/>
        <w:jc w:val="right"/>
        <w:rPr>
          <w:rFonts w:ascii="Gotham Bold" w:eastAsia="Montserrat SemiBold" w:hAnsi="Gotham Bold" w:cs="Montserrat SemiBold"/>
          <w:b/>
          <w:color w:val="000000" w:themeColor="text1"/>
        </w:rPr>
      </w:pPr>
      <w:r>
        <w:rPr>
          <w:rFonts w:ascii="Gotham Bold" w:eastAsia="Montserrat SemiBold" w:hAnsi="Gotham Bold" w:cs="Montserrat SemiBold"/>
          <w:b/>
          <w:color w:val="000000" w:themeColor="text1"/>
        </w:rPr>
        <w:t>Metepec</w:t>
      </w:r>
      <w:r w:rsidRPr="006E69B1">
        <w:rPr>
          <w:rFonts w:ascii="Gotham Bold" w:eastAsia="Montserrat SemiBold" w:hAnsi="Gotham Bold" w:cs="Montserrat SemiBold"/>
          <w:b/>
          <w:color w:val="000000" w:themeColor="text1"/>
        </w:rPr>
        <w:t xml:space="preserve">, México a </w:t>
      </w:r>
      <w:r w:rsidR="001E7634">
        <w:rPr>
          <w:rFonts w:ascii="Gotham Bold" w:eastAsia="Montserrat SemiBold" w:hAnsi="Gotham Bold" w:cs="Montserrat SemiBold"/>
          <w:b/>
          <w:color w:val="000000" w:themeColor="text1"/>
        </w:rPr>
        <w:t>2</w:t>
      </w:r>
      <w:r w:rsidR="00523468">
        <w:rPr>
          <w:rFonts w:ascii="Gotham Bold" w:eastAsia="Montserrat SemiBold" w:hAnsi="Gotham Bold" w:cs="Montserrat SemiBold"/>
          <w:b/>
          <w:color w:val="000000" w:themeColor="text1"/>
        </w:rPr>
        <w:t>4</w:t>
      </w:r>
      <w:r w:rsidR="00B03115">
        <w:rPr>
          <w:rFonts w:ascii="Gotham Bold" w:eastAsia="Montserrat SemiBold" w:hAnsi="Gotham Bold" w:cs="Montserrat SemiBold"/>
          <w:b/>
          <w:color w:val="000000" w:themeColor="text1"/>
        </w:rPr>
        <w:t xml:space="preserve"> de marzo</w:t>
      </w:r>
      <w:r w:rsidRPr="006E69B1">
        <w:rPr>
          <w:rFonts w:ascii="Gotham Bold" w:eastAsia="Montserrat SemiBold" w:hAnsi="Gotham Bold" w:cs="Montserrat SemiBold"/>
          <w:b/>
          <w:color w:val="000000" w:themeColor="text1"/>
        </w:rPr>
        <w:t xml:space="preserve"> de 202</w:t>
      </w:r>
      <w:r w:rsidR="00B03115">
        <w:rPr>
          <w:rFonts w:ascii="Gotham Bold" w:eastAsia="Montserrat SemiBold" w:hAnsi="Gotham Bold" w:cs="Montserrat SemiBold"/>
          <w:b/>
          <w:color w:val="000000" w:themeColor="text1"/>
        </w:rPr>
        <w:t>5</w:t>
      </w:r>
    </w:p>
    <w:p w14:paraId="71F63995" w14:textId="46F1882E" w:rsidR="00C3579E" w:rsidRPr="00307702" w:rsidRDefault="00C3579E" w:rsidP="00307702">
      <w:pPr>
        <w:spacing w:after="0" w:line="240" w:lineRule="atLeast"/>
        <w:ind w:right="-516"/>
        <w:jc w:val="right"/>
        <w:rPr>
          <w:rFonts w:ascii="Gotham Bold" w:eastAsia="Montserrat SemiBold" w:hAnsi="Gotham Bold" w:cs="Montserrat SemiBold"/>
          <w:b/>
          <w:color w:val="000000" w:themeColor="text1"/>
          <w:lang w:val="pt-PT"/>
        </w:rPr>
      </w:pPr>
      <w:r w:rsidRPr="00307702">
        <w:rPr>
          <w:rFonts w:ascii="Gotham Bold" w:eastAsia="Montserrat SemiBold" w:hAnsi="Gotham Bold" w:cs="Montserrat SemiBold"/>
          <w:b/>
          <w:color w:val="000000" w:themeColor="text1"/>
          <w:lang w:val="pt-PT"/>
        </w:rPr>
        <w:t>Oficio No.206B0110000100S/SP/UT/</w:t>
      </w:r>
      <w:r w:rsidR="00307702">
        <w:rPr>
          <w:rFonts w:ascii="Gotham Bold" w:eastAsia="Montserrat SemiBold" w:hAnsi="Gotham Bold" w:cs="Montserrat SemiBold"/>
          <w:b/>
          <w:color w:val="000000" w:themeColor="text1"/>
          <w:lang w:val="pt-PT"/>
        </w:rPr>
        <w:t>125</w:t>
      </w:r>
      <w:r w:rsidRPr="00307702">
        <w:rPr>
          <w:rFonts w:ascii="Gotham Bold" w:eastAsia="Montserrat SemiBold" w:hAnsi="Gotham Bold" w:cs="Montserrat SemiBold"/>
          <w:b/>
          <w:color w:val="000000" w:themeColor="text1"/>
          <w:lang w:val="pt-PT"/>
        </w:rPr>
        <w:t>/2025</w:t>
      </w:r>
    </w:p>
    <w:p w14:paraId="6B8C8281" w14:textId="77777777" w:rsidR="00307702" w:rsidRPr="00307702" w:rsidRDefault="00307702" w:rsidP="00307702">
      <w:pPr>
        <w:spacing w:after="0" w:line="240" w:lineRule="atLeast"/>
        <w:ind w:left="-284" w:right="-516"/>
        <w:jc w:val="both"/>
        <w:rPr>
          <w:rFonts w:ascii="Gotham" w:eastAsia="Montserrat SemiBold" w:hAnsi="Gotham" w:cs="Montserrat SemiBold"/>
          <w:bCs/>
          <w:color w:val="000000" w:themeColor="text1"/>
          <w:sz w:val="20"/>
          <w:lang w:val="pt-PT"/>
        </w:rPr>
      </w:pPr>
    </w:p>
    <w:p w14:paraId="76E9C120" w14:textId="537FDEA0" w:rsidR="00307702" w:rsidRPr="0057631A" w:rsidRDefault="00307702" w:rsidP="00307702">
      <w:pPr>
        <w:spacing w:after="0" w:line="240" w:lineRule="atLeast"/>
        <w:ind w:left="-284" w:right="-516"/>
        <w:jc w:val="both"/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</w:pP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C. SOLICITANTE </w:t>
      </w:r>
    </w:p>
    <w:p w14:paraId="68387EBA" w14:textId="650B6FD5" w:rsidR="00307702" w:rsidRPr="0057631A" w:rsidRDefault="00307702" w:rsidP="00307702">
      <w:pPr>
        <w:spacing w:after="0" w:line="240" w:lineRule="atLeast"/>
        <w:ind w:left="-284" w:right="-516"/>
        <w:jc w:val="both"/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</w:pP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P</w:t>
      </w:r>
      <w:r w:rsidR="0057631A"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R</w:t>
      </w:r>
      <w:r w:rsidR="0057631A"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E</w:t>
      </w:r>
      <w:r w:rsid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S</w:t>
      </w:r>
      <w:r w:rsid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E</w:t>
      </w:r>
      <w:r w:rsid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N</w:t>
      </w:r>
      <w:r w:rsid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T</w:t>
      </w:r>
      <w:r w:rsid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 xml:space="preserve"> </w:t>
      </w:r>
      <w:r w:rsidRPr="0057631A">
        <w:rPr>
          <w:rFonts w:ascii="Gotham Bold" w:eastAsia="Montserrat SemiBold" w:hAnsi="Gotham Bold" w:cs="Montserrat SemiBold"/>
          <w:b/>
          <w:color w:val="000000" w:themeColor="text1"/>
          <w:sz w:val="25"/>
          <w:szCs w:val="25"/>
          <w:lang w:val="pt-PT"/>
        </w:rPr>
        <w:t>E</w:t>
      </w:r>
    </w:p>
    <w:p w14:paraId="5266F989" w14:textId="77777777" w:rsidR="00307702" w:rsidRPr="0057631A" w:rsidRDefault="00307702" w:rsidP="00307702">
      <w:pPr>
        <w:spacing w:after="0" w:line="240" w:lineRule="atLeast"/>
        <w:ind w:left="-284" w:right="-516"/>
        <w:jc w:val="both"/>
        <w:rPr>
          <w:rFonts w:ascii="Gotham" w:eastAsia="Montserrat SemiBold" w:hAnsi="Gotham" w:cs="Montserrat SemiBold"/>
          <w:color w:val="000000" w:themeColor="text1"/>
          <w:sz w:val="20"/>
          <w:lang w:val="pt-PT"/>
        </w:rPr>
      </w:pPr>
    </w:p>
    <w:p w14:paraId="763509E6" w14:textId="2D3F77F5" w:rsidR="00C3579E" w:rsidRDefault="00FB795E" w:rsidP="00307702">
      <w:pPr>
        <w:spacing w:after="0" w:line="240" w:lineRule="atLeast"/>
        <w:ind w:left="-284" w:right="-516"/>
        <w:jc w:val="both"/>
        <w:rPr>
          <w:rFonts w:ascii="Gotham" w:eastAsia="Montserrat SemiBold" w:hAnsi="Gotham" w:cs="Montserrat SemiBold"/>
          <w:color w:val="000000" w:themeColor="text1"/>
          <w:sz w:val="20"/>
        </w:rPr>
      </w:pPr>
      <w:r w:rsidRPr="00FB795E">
        <w:rPr>
          <w:rFonts w:ascii="Gotham" w:eastAsia="Montserrat SemiBold" w:hAnsi="Gotham" w:cs="Montserrat SemiBold"/>
          <w:color w:val="000000" w:themeColor="text1"/>
          <w:sz w:val="20"/>
        </w:rPr>
        <w:t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</w:t>
      </w:r>
      <w:r>
        <w:rPr>
          <w:rFonts w:ascii="Gotham" w:eastAsia="Montserrat SemiBold" w:hAnsi="Gotham" w:cs="Montserrat SemiBold"/>
          <w:color w:val="000000" w:themeColor="text1"/>
          <w:sz w:val="20"/>
        </w:rPr>
        <w:t xml:space="preserve">u solicitud de información </w:t>
      </w:r>
      <w:r w:rsidR="00D8598E">
        <w:rPr>
          <w:rFonts w:ascii="Gotham" w:eastAsia="Montserrat SemiBold" w:hAnsi="Gotham" w:cs="Montserrat SemiBold"/>
          <w:b/>
          <w:color w:val="000000" w:themeColor="text1"/>
          <w:sz w:val="20"/>
        </w:rPr>
        <w:t>00026</w:t>
      </w:r>
      <w:r w:rsidRPr="00FB795E">
        <w:rPr>
          <w:rFonts w:ascii="Gotham" w:eastAsia="Montserrat SemiBold" w:hAnsi="Gotham" w:cs="Montserrat SemiBold"/>
          <w:b/>
          <w:color w:val="000000" w:themeColor="text1"/>
          <w:sz w:val="20"/>
        </w:rPr>
        <w:t>/SESESP/IP/2025</w:t>
      </w:r>
      <w:r w:rsidRPr="00FB795E">
        <w:rPr>
          <w:rFonts w:ascii="Gotham" w:eastAsia="Montserrat SemiBold" w:hAnsi="Gotham" w:cs="Montserrat SemiBold"/>
          <w:color w:val="000000" w:themeColor="text1"/>
          <w:sz w:val="20"/>
        </w:rPr>
        <w:t xml:space="preserve">, recibida y registrada en el Sistema de Acceso a la Información Mexiquense (SAIMEX) de este Sujeto Obligado, el </w:t>
      </w:r>
      <w:r w:rsidR="00D8598E">
        <w:rPr>
          <w:rFonts w:ascii="Gotham" w:eastAsia="Montserrat SemiBold" w:hAnsi="Gotham" w:cs="Montserrat SemiBold"/>
          <w:color w:val="000000" w:themeColor="text1"/>
          <w:sz w:val="20"/>
        </w:rPr>
        <w:t>19</w:t>
      </w:r>
      <w:r>
        <w:rPr>
          <w:rFonts w:ascii="Gotham" w:eastAsia="Montserrat SemiBold" w:hAnsi="Gotham" w:cs="Montserrat SemiBold"/>
          <w:color w:val="000000" w:themeColor="text1"/>
          <w:sz w:val="20"/>
        </w:rPr>
        <w:t xml:space="preserve"> de marzo</w:t>
      </w:r>
      <w:r w:rsidRPr="00FB795E">
        <w:rPr>
          <w:rFonts w:ascii="Gotham" w:eastAsia="Montserrat SemiBold" w:hAnsi="Gotham" w:cs="Montserrat SemiBold"/>
          <w:color w:val="000000" w:themeColor="text1"/>
          <w:sz w:val="20"/>
        </w:rPr>
        <w:t xml:space="preserve"> de 2025, que a la letra dice:</w:t>
      </w:r>
    </w:p>
    <w:p w14:paraId="092CBE13" w14:textId="1484A543" w:rsidR="00FB795E" w:rsidRDefault="00FB795E" w:rsidP="00307702">
      <w:pPr>
        <w:spacing w:after="0" w:line="240" w:lineRule="atLeast"/>
        <w:ind w:left="-284" w:right="-516"/>
        <w:jc w:val="both"/>
        <w:rPr>
          <w:rFonts w:ascii="Gotham" w:eastAsia="Montserrat SemiBold" w:hAnsi="Gotham" w:cs="Montserrat SemiBold"/>
          <w:color w:val="000000" w:themeColor="text1"/>
          <w:sz w:val="20"/>
        </w:rPr>
      </w:pPr>
    </w:p>
    <w:p w14:paraId="77146D4A" w14:textId="3AD6D545" w:rsidR="004D2025" w:rsidRPr="00533E68" w:rsidRDefault="00FB795E" w:rsidP="00307702">
      <w:pPr>
        <w:spacing w:after="0" w:line="240" w:lineRule="atLeast"/>
        <w:ind w:left="-284" w:right="-516"/>
        <w:jc w:val="both"/>
        <w:rPr>
          <w:rFonts w:ascii="Gotham" w:eastAsia="Montserrat SemiBold" w:hAnsi="Gotham" w:cs="Montserrat SemiBold"/>
          <w:b/>
          <w:i/>
          <w:color w:val="000000" w:themeColor="text1"/>
          <w:sz w:val="20"/>
        </w:rPr>
      </w:pPr>
      <w:r>
        <w:rPr>
          <w:rFonts w:ascii="Gotham" w:eastAsia="Montserrat SemiBold" w:hAnsi="Gotham" w:cs="Montserrat SemiBold"/>
          <w:i/>
          <w:color w:val="000000" w:themeColor="text1"/>
          <w:sz w:val="20"/>
        </w:rPr>
        <w:t>“</w:t>
      </w:r>
      <w:r w:rsidR="00307702" w:rsidRPr="00307702">
        <w:rPr>
          <w:rFonts w:ascii="Gotham" w:eastAsia="Montserrat SemiBold" w:hAnsi="Gotham" w:cs="Montserrat SemiBold"/>
          <w:i/>
          <w:color w:val="000000" w:themeColor="text1"/>
          <w:sz w:val="20"/>
        </w:rPr>
        <w:t>Proceso de selección a nuevo ingreso para profesionistas con perfil de licenciado para este sujeto obligado.</w:t>
      </w:r>
      <w:r w:rsidR="00D8598E">
        <w:rPr>
          <w:rFonts w:ascii="Gotham" w:eastAsia="Montserrat SemiBold" w:hAnsi="Gotham" w:cs="Montserrat SemiBold"/>
          <w:i/>
          <w:color w:val="000000" w:themeColor="text1"/>
          <w:sz w:val="20"/>
        </w:rPr>
        <w:t>”</w:t>
      </w:r>
      <w:r w:rsidR="00533E68">
        <w:rPr>
          <w:rFonts w:ascii="Gotham" w:eastAsia="Montserrat SemiBold" w:hAnsi="Gotham" w:cs="Montserrat SemiBold"/>
          <w:i/>
          <w:color w:val="000000" w:themeColor="text1"/>
          <w:sz w:val="20"/>
        </w:rPr>
        <w:t xml:space="preserve"> </w:t>
      </w:r>
      <w:r w:rsidR="00533E68">
        <w:rPr>
          <w:rFonts w:ascii="Gotham" w:eastAsia="Montserrat SemiBold" w:hAnsi="Gotham" w:cs="Montserrat SemiBold"/>
          <w:b/>
          <w:i/>
          <w:color w:val="000000" w:themeColor="text1"/>
          <w:sz w:val="20"/>
        </w:rPr>
        <w:t>(sic)</w:t>
      </w:r>
    </w:p>
    <w:p w14:paraId="538010A1" w14:textId="730ADE68" w:rsidR="00533E68" w:rsidRDefault="00533E68" w:rsidP="00307702">
      <w:pPr>
        <w:spacing w:after="0" w:line="240" w:lineRule="atLeast"/>
        <w:ind w:left="-284" w:right="-516"/>
        <w:jc w:val="both"/>
        <w:rPr>
          <w:rFonts w:ascii="Gotham" w:eastAsia="Montserrat SemiBold" w:hAnsi="Gotham" w:cs="Montserrat SemiBold"/>
          <w:i/>
          <w:color w:val="000000" w:themeColor="text1"/>
          <w:sz w:val="20"/>
        </w:rPr>
      </w:pPr>
    </w:p>
    <w:p w14:paraId="2B1047AD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sz w:val="20"/>
          <w:szCs w:val="20"/>
        </w:rPr>
      </w:pPr>
      <w:r w:rsidRPr="008C6070">
        <w:rPr>
          <w:rFonts w:ascii="Gotham" w:hAnsi="Gotham" w:cs="Arial"/>
          <w:b/>
          <w:bCs/>
          <w:sz w:val="20"/>
          <w:szCs w:val="20"/>
        </w:rPr>
        <w:t>Competencia:</w:t>
      </w:r>
    </w:p>
    <w:p w14:paraId="2A9A8554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</w:p>
    <w:p w14:paraId="04F9AAF4" w14:textId="1B376EAD" w:rsidR="00533E68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  <w:r w:rsidRPr="008C6070">
        <w:rPr>
          <w:rFonts w:ascii="Gotham" w:hAnsi="Gotham" w:cs="Arial"/>
          <w:bCs/>
          <w:sz w:val="20"/>
          <w:szCs w:val="20"/>
        </w:rPr>
        <w:t>Al respecto, con fundamento en los artículos 1, 4, 12 segundo párrafo, 24 último párrafo, y 53 fracción II de la Ley de Transparencia y Acceso a la Información Pública del Estado de México y Municipios; 61 de la Ley de Se</w:t>
      </w:r>
      <w:r>
        <w:rPr>
          <w:rFonts w:ascii="Gotham" w:hAnsi="Gotham" w:cs="Arial"/>
          <w:bCs/>
          <w:sz w:val="20"/>
          <w:szCs w:val="20"/>
        </w:rPr>
        <w:t>guridad del Estado de México</w:t>
      </w:r>
      <w:r w:rsidRPr="00492342">
        <w:rPr>
          <w:rFonts w:ascii="Gotham" w:hAnsi="Gotham" w:cs="Arial"/>
          <w:bCs/>
          <w:sz w:val="20"/>
          <w:szCs w:val="20"/>
        </w:rPr>
        <w:t>; 9 y 15</w:t>
      </w:r>
      <w:r>
        <w:rPr>
          <w:rFonts w:ascii="Gotham" w:hAnsi="Gotham" w:cs="Arial"/>
          <w:bCs/>
          <w:sz w:val="20"/>
          <w:szCs w:val="20"/>
        </w:rPr>
        <w:t xml:space="preserve"> </w:t>
      </w:r>
      <w:r w:rsidRPr="008C6070">
        <w:rPr>
          <w:rFonts w:ascii="Gotham" w:hAnsi="Gotham" w:cs="Arial"/>
          <w:bCs/>
          <w:sz w:val="20"/>
          <w:szCs w:val="20"/>
        </w:rPr>
        <w:t>del Reglamento Interior del Secretariado Ejecutivo del Sistema Estatal de Seguridad Pública, me permito informar a Usted, que este Sujeto Obligado da respuesta como se expondrá de manera fundada.</w:t>
      </w:r>
    </w:p>
    <w:p w14:paraId="389DA490" w14:textId="12BEE741" w:rsidR="00533E68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</w:p>
    <w:p w14:paraId="75FD4F4E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sz w:val="20"/>
          <w:szCs w:val="20"/>
        </w:rPr>
      </w:pPr>
      <w:r w:rsidRPr="008C6070">
        <w:rPr>
          <w:rFonts w:ascii="Gotham" w:hAnsi="Gotham" w:cs="Arial"/>
          <w:b/>
          <w:bCs/>
          <w:sz w:val="20"/>
          <w:szCs w:val="20"/>
        </w:rPr>
        <w:t>Fundamentación y Motivación:</w:t>
      </w:r>
    </w:p>
    <w:p w14:paraId="11D8632B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</w:p>
    <w:p w14:paraId="3561179A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i/>
          <w:iCs/>
          <w:sz w:val="20"/>
          <w:szCs w:val="20"/>
        </w:rPr>
      </w:pP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t>“Artículo 12</w:t>
      </w:r>
      <w:r>
        <w:rPr>
          <w:rFonts w:ascii="Gotham" w:hAnsi="Gotham" w:cs="Arial"/>
          <w:b/>
          <w:bCs/>
          <w:i/>
          <w:iCs/>
          <w:sz w:val="20"/>
          <w:szCs w:val="20"/>
        </w:rPr>
        <w:t xml:space="preserve"> …</w:t>
      </w:r>
    </w:p>
    <w:p w14:paraId="68D34483" w14:textId="77777777" w:rsidR="00533E68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Los sujetos obligados sólo proporcionarán la información pública que se les requiera y que obre en sus archivos y 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>en el estado en que ésta se encuentre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. 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 xml:space="preserve">La obligación de proporcionar información no comprende el procesamiento de </w:t>
      </w:r>
      <w:proofErr w:type="gramStart"/>
      <w:r w:rsidRPr="008C6070">
        <w:rPr>
          <w:rFonts w:ascii="Gotham" w:hAnsi="Gotham" w:cs="Arial"/>
          <w:b/>
          <w:i/>
          <w:iCs/>
          <w:sz w:val="20"/>
          <w:szCs w:val="20"/>
        </w:rPr>
        <w:t>la misma</w:t>
      </w:r>
      <w:proofErr w:type="gramEnd"/>
      <w:r w:rsidRPr="008C6070">
        <w:rPr>
          <w:rFonts w:ascii="Gotham" w:hAnsi="Gotham" w:cs="Arial"/>
          <w:b/>
          <w:i/>
          <w:iCs/>
          <w:sz w:val="20"/>
          <w:szCs w:val="20"/>
        </w:rPr>
        <w:t>, ni el presentarla conforme al interés del solicitante;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 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>no estarán obligados a generarla, resumirla, efectuar cálculos o practicar investigaciones.” (énfasis añadido)</w:t>
      </w:r>
    </w:p>
    <w:p w14:paraId="0BF84011" w14:textId="77777777" w:rsidR="00533E68" w:rsidRPr="008C6070" w:rsidRDefault="00533E68" w:rsidP="00307702">
      <w:pPr>
        <w:spacing w:after="0" w:line="240" w:lineRule="atLeast"/>
        <w:ind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</w:p>
    <w:p w14:paraId="4DBE83EC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>
        <w:rPr>
          <w:rFonts w:ascii="Gotham" w:hAnsi="Gotham" w:cs="Arial"/>
          <w:b/>
          <w:bCs/>
          <w:i/>
          <w:iCs/>
          <w:sz w:val="20"/>
          <w:szCs w:val="20"/>
        </w:rPr>
        <w:t>“Artículo 24</w:t>
      </w:r>
      <w:r>
        <w:rPr>
          <w:rFonts w:ascii="Gotham" w:hAnsi="Gotham" w:cs="Arial"/>
          <w:bCs/>
          <w:i/>
          <w:iCs/>
          <w:sz w:val="20"/>
          <w:szCs w:val="20"/>
        </w:rPr>
        <w:t xml:space="preserve"> 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… </w:t>
      </w:r>
    </w:p>
    <w:p w14:paraId="20D7D3F8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8C6070">
        <w:rPr>
          <w:rFonts w:ascii="Gotham" w:hAnsi="Gotham" w:cs="Arial"/>
          <w:b/>
          <w:i/>
          <w:iCs/>
          <w:sz w:val="20"/>
          <w:szCs w:val="20"/>
        </w:rPr>
        <w:t>Los sujetos obligados solo proporcionarán la información pública que generen, administren o posean en el ejercicio de sus atribuciones.” (énfasis añadido)</w:t>
      </w:r>
    </w:p>
    <w:p w14:paraId="12EBA5C4" w14:textId="77777777" w:rsidR="00533E68" w:rsidRDefault="00533E68" w:rsidP="00307702">
      <w:pPr>
        <w:spacing w:after="0" w:line="240" w:lineRule="atLeast"/>
        <w:ind w:right="-516"/>
        <w:jc w:val="both"/>
        <w:rPr>
          <w:rFonts w:ascii="Gotham" w:hAnsi="Gotham"/>
          <w:b/>
          <w:i/>
          <w:iCs/>
          <w:sz w:val="20"/>
          <w:szCs w:val="20"/>
        </w:rPr>
      </w:pPr>
    </w:p>
    <w:p w14:paraId="75430D6B" w14:textId="77777777" w:rsidR="00533E68" w:rsidRDefault="00533E68" w:rsidP="00307702">
      <w:pPr>
        <w:spacing w:after="0" w:line="240" w:lineRule="atLeast"/>
        <w:ind w:left="-284" w:right="-516"/>
        <w:jc w:val="both"/>
        <w:rPr>
          <w:rFonts w:ascii="Gotham" w:hAnsi="Gotham"/>
          <w:i/>
          <w:iCs/>
          <w:sz w:val="20"/>
          <w:szCs w:val="20"/>
        </w:rPr>
      </w:pPr>
      <w:r w:rsidRPr="008C6070">
        <w:rPr>
          <w:rFonts w:ascii="Gotham" w:hAnsi="Gotham"/>
          <w:b/>
          <w:i/>
          <w:iCs/>
          <w:sz w:val="20"/>
          <w:szCs w:val="20"/>
        </w:rPr>
        <w:t>“Artículo 162</w:t>
      </w:r>
      <w:r w:rsidRPr="008C6070">
        <w:rPr>
          <w:rFonts w:ascii="Gotham" w:hAnsi="Gotham"/>
          <w:b/>
          <w:bCs/>
          <w:i/>
          <w:iCs/>
          <w:sz w:val="20"/>
          <w:szCs w:val="20"/>
        </w:rPr>
        <w:t xml:space="preserve">. </w:t>
      </w:r>
      <w:r w:rsidRPr="008C6070">
        <w:rPr>
          <w:rFonts w:ascii="Gotham" w:hAnsi="Gotham"/>
          <w:i/>
          <w:iCs/>
          <w:sz w:val="20"/>
          <w:szCs w:val="20"/>
        </w:rPr>
        <w:t xml:space="preserve">Las unidades de transparencia deberán garantizar que las solicitudes se turnen a todas las Áreas competentes que cuenten con la información o deban tenerla </w:t>
      </w:r>
      <w:proofErr w:type="gramStart"/>
      <w:r w:rsidRPr="008C6070">
        <w:rPr>
          <w:rFonts w:ascii="Gotham" w:hAnsi="Gotham"/>
          <w:i/>
          <w:iCs/>
          <w:sz w:val="20"/>
          <w:szCs w:val="20"/>
        </w:rPr>
        <w:t>de acuerdo a</w:t>
      </w:r>
      <w:proofErr w:type="gramEnd"/>
      <w:r w:rsidRPr="008C6070">
        <w:rPr>
          <w:rFonts w:ascii="Gotham" w:hAnsi="Gotham"/>
          <w:i/>
          <w:iCs/>
          <w:sz w:val="20"/>
          <w:szCs w:val="20"/>
        </w:rPr>
        <w:t xml:space="preserve"> sus </w:t>
      </w:r>
    </w:p>
    <w:p w14:paraId="2866AB12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8C6070">
        <w:rPr>
          <w:rFonts w:ascii="Gotham" w:hAnsi="Gotham"/>
          <w:i/>
          <w:iCs/>
          <w:sz w:val="20"/>
          <w:szCs w:val="20"/>
        </w:rPr>
        <w:t xml:space="preserve">facultades, competencias y funciones, </w:t>
      </w:r>
      <w:r w:rsidRPr="008C6070">
        <w:rPr>
          <w:rFonts w:ascii="Gotham" w:hAnsi="Gotham"/>
          <w:b/>
          <w:bCs/>
          <w:i/>
          <w:iCs/>
          <w:sz w:val="20"/>
          <w:szCs w:val="20"/>
        </w:rPr>
        <w:t>con el objeto de que realicen una búsqueda exhaustiva y razonable de la información solicitada</w:t>
      </w:r>
      <w:r w:rsidRPr="008C6070">
        <w:rPr>
          <w:rFonts w:ascii="Gotham" w:hAnsi="Gotham"/>
          <w:i/>
          <w:iCs/>
          <w:sz w:val="20"/>
          <w:szCs w:val="20"/>
        </w:rPr>
        <w:t>.”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 xml:space="preserve"> (énfasis añadido)</w:t>
      </w:r>
    </w:p>
    <w:p w14:paraId="40BA7245" w14:textId="6662C0F7" w:rsidR="00533E68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</w:p>
    <w:p w14:paraId="28CFCACC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  <w:r w:rsidRPr="008C6070">
        <w:rPr>
          <w:rFonts w:ascii="Gotham" w:hAnsi="Gotham" w:cs="Arial"/>
          <w:bCs/>
          <w:sz w:val="20"/>
          <w:szCs w:val="20"/>
        </w:rPr>
        <w:t>También el criterio número 03/17 Segunda Época, del Instituto Nacional de Transparencia y Acceso a la Información y Protección de Datos Personales (INAI), permite ampliar la interpretación de estas disposiciones de la materia:</w:t>
      </w:r>
    </w:p>
    <w:p w14:paraId="3D9C388D" w14:textId="77777777" w:rsidR="00B235CA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8C6070">
        <w:rPr>
          <w:rFonts w:ascii="Gotham" w:hAnsi="Gotham" w:cs="Arial"/>
          <w:b/>
          <w:bCs/>
          <w:sz w:val="20"/>
          <w:szCs w:val="20"/>
        </w:rPr>
        <w:t>“</w:t>
      </w: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t>No existe obligación de elaborar documentos ad hoc para atender las solicitudes de acceso a la información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. Los artículos 129 de la Ley General de Transparencia y Acceso a la Información Pública </w:t>
      </w:r>
    </w:p>
    <w:p w14:paraId="25EB758F" w14:textId="77777777" w:rsidR="00B235CA" w:rsidRDefault="00B235CA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</w:p>
    <w:p w14:paraId="5C629A42" w14:textId="77777777" w:rsidR="00B235CA" w:rsidRDefault="00B235CA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</w:p>
    <w:p w14:paraId="1D89D686" w14:textId="2489FAAE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8C6070">
        <w:rPr>
          <w:rFonts w:ascii="Gotham" w:hAnsi="Gotham" w:cs="Arial"/>
          <w:bCs/>
          <w:i/>
          <w:iCs/>
          <w:sz w:val="20"/>
          <w:szCs w:val="20"/>
        </w:rPr>
        <w:lastRenderedPageBreak/>
        <w:t xml:space="preserve">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>proporcionando la información con la que cuentan en el formato en que la misma obre en sus archivos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>;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 xml:space="preserve"> sin necesidad de elaborar documentos ad hoc para atender las solicitudes de información.</w:t>
      </w:r>
    </w:p>
    <w:p w14:paraId="4BF7A733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i/>
          <w:iCs/>
          <w:sz w:val="20"/>
          <w:szCs w:val="20"/>
        </w:rPr>
      </w:pP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t xml:space="preserve">Resoluciones: </w:t>
      </w:r>
    </w:p>
    <w:p w14:paraId="76D6252B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t xml:space="preserve"> RRA 0050/16.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 Instituto Nacional para la Evaluación de la Educación. 13 julio de 2016. Por unanimidad. Comisionado Ponente: Francisco Javier Acuña Llamas. </w:t>
      </w:r>
    </w:p>
    <w:p w14:paraId="105CD411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t xml:space="preserve"> RRA 0310/16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. Instituto Nacional de Transparencia, Acceso a la Información y Protección de Datos Personales. 10 de agosto de 2016. Por unanimidad. Comisionada Ponente. Areli Cano Guadiana. </w:t>
      </w:r>
    </w:p>
    <w:p w14:paraId="544043F3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8C6070">
        <w:rPr>
          <w:rFonts w:ascii="Gotham" w:hAnsi="Gotham" w:cs="Arial"/>
          <w:b/>
          <w:bCs/>
          <w:i/>
          <w:iCs/>
          <w:sz w:val="20"/>
          <w:szCs w:val="20"/>
        </w:rPr>
        <w:t xml:space="preserve"> RRA 1889/16.</w:t>
      </w:r>
      <w:r w:rsidRPr="008C6070">
        <w:rPr>
          <w:rFonts w:ascii="Gotham" w:hAnsi="Gotham" w:cs="Arial"/>
          <w:bCs/>
          <w:i/>
          <w:iCs/>
          <w:sz w:val="20"/>
          <w:szCs w:val="20"/>
        </w:rPr>
        <w:t xml:space="preserve"> Secretaría de Hacienda y Crédito Público. 05 de octubre de 2016. Por unanimidad. Comisionada Ponente. Ximena Puente de la Mora.”</w:t>
      </w:r>
      <w:r w:rsidRPr="008C6070">
        <w:rPr>
          <w:rFonts w:ascii="Gotham" w:hAnsi="Gotham" w:cs="Arial"/>
          <w:b/>
          <w:i/>
          <w:iCs/>
          <w:sz w:val="20"/>
          <w:szCs w:val="20"/>
        </w:rPr>
        <w:t xml:space="preserve"> (énfasis añadido)</w:t>
      </w:r>
    </w:p>
    <w:p w14:paraId="407BAED3" w14:textId="77777777" w:rsidR="00533E68" w:rsidRPr="008C6070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</w:p>
    <w:p w14:paraId="3EC7D829" w14:textId="134965F1" w:rsidR="00A17C1F" w:rsidRDefault="00533E68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Cs/>
          <w:sz w:val="20"/>
          <w:szCs w:val="20"/>
        </w:rPr>
      </w:pPr>
      <w:r w:rsidRPr="009B31DA">
        <w:rPr>
          <w:rFonts w:ascii="Gotham" w:hAnsi="Gotham" w:cs="Arial"/>
          <w:bCs/>
          <w:sz w:val="20"/>
          <w:szCs w:val="20"/>
        </w:rPr>
        <w:t>Una vez analizada su Solicitud de Información, y derivado de</w:t>
      </w:r>
      <w:r w:rsidR="00FE464B">
        <w:rPr>
          <w:rFonts w:ascii="Gotham" w:hAnsi="Gotham" w:cs="Arial"/>
          <w:bCs/>
          <w:sz w:val="20"/>
          <w:szCs w:val="20"/>
        </w:rPr>
        <w:t>l</w:t>
      </w:r>
      <w:r w:rsidRPr="009B31DA">
        <w:rPr>
          <w:rFonts w:ascii="Gotham" w:hAnsi="Gotham" w:cs="Arial"/>
          <w:bCs/>
          <w:sz w:val="20"/>
          <w:szCs w:val="20"/>
        </w:rPr>
        <w:t xml:space="preserve"> oficio número </w:t>
      </w:r>
      <w:r w:rsidR="007C70EA">
        <w:rPr>
          <w:rFonts w:ascii="Gotham" w:hAnsi="Gotham" w:cs="Arial"/>
          <w:bCs/>
          <w:sz w:val="20"/>
          <w:szCs w:val="20"/>
        </w:rPr>
        <w:t>206B0110000300S</w:t>
      </w:r>
      <w:r>
        <w:rPr>
          <w:rFonts w:ascii="Gotham" w:hAnsi="Gotham" w:cs="Arial"/>
          <w:bCs/>
          <w:sz w:val="20"/>
          <w:szCs w:val="20"/>
        </w:rPr>
        <w:t>/</w:t>
      </w:r>
      <w:r w:rsidR="007C70EA">
        <w:rPr>
          <w:rFonts w:ascii="Gotham" w:hAnsi="Gotham" w:cs="Arial"/>
          <w:bCs/>
          <w:sz w:val="20"/>
          <w:szCs w:val="20"/>
        </w:rPr>
        <w:t>SESESP</w:t>
      </w:r>
      <w:r>
        <w:rPr>
          <w:rFonts w:ascii="Gotham" w:hAnsi="Gotham" w:cs="Arial"/>
          <w:bCs/>
          <w:sz w:val="20"/>
          <w:szCs w:val="20"/>
        </w:rPr>
        <w:t>/</w:t>
      </w:r>
      <w:r w:rsidR="007C70EA">
        <w:rPr>
          <w:rFonts w:ascii="Gotham" w:hAnsi="Gotham" w:cs="Arial"/>
          <w:bCs/>
          <w:sz w:val="20"/>
          <w:szCs w:val="20"/>
        </w:rPr>
        <w:t>UAA/</w:t>
      </w:r>
      <w:r>
        <w:rPr>
          <w:rFonts w:ascii="Gotham" w:hAnsi="Gotham" w:cs="Arial"/>
          <w:bCs/>
          <w:sz w:val="20"/>
          <w:szCs w:val="20"/>
        </w:rPr>
        <w:t>0</w:t>
      </w:r>
      <w:r w:rsidR="007C70EA">
        <w:rPr>
          <w:rFonts w:ascii="Gotham" w:hAnsi="Gotham" w:cs="Arial"/>
          <w:bCs/>
          <w:sz w:val="20"/>
          <w:szCs w:val="20"/>
        </w:rPr>
        <w:t>0</w:t>
      </w:r>
      <w:r w:rsidR="00307702">
        <w:rPr>
          <w:rFonts w:ascii="Gotham" w:hAnsi="Gotham" w:cs="Arial"/>
          <w:bCs/>
          <w:sz w:val="20"/>
          <w:szCs w:val="20"/>
        </w:rPr>
        <w:t>297</w:t>
      </w:r>
      <w:r w:rsidR="007C70EA">
        <w:rPr>
          <w:rFonts w:ascii="Gotham" w:hAnsi="Gotham" w:cs="Arial"/>
          <w:bCs/>
          <w:sz w:val="20"/>
          <w:szCs w:val="20"/>
        </w:rPr>
        <w:t>/2025</w:t>
      </w:r>
      <w:r>
        <w:rPr>
          <w:rFonts w:ascii="Gotham" w:hAnsi="Gotham" w:cs="Arial"/>
          <w:bCs/>
          <w:sz w:val="20"/>
          <w:szCs w:val="20"/>
        </w:rPr>
        <w:t>,</w:t>
      </w:r>
      <w:r w:rsidR="007C70EA">
        <w:rPr>
          <w:rFonts w:ascii="Gotham" w:hAnsi="Gotham" w:cs="Arial"/>
          <w:bCs/>
          <w:sz w:val="20"/>
          <w:szCs w:val="20"/>
        </w:rPr>
        <w:t xml:space="preserve"> signado por la Titular de la Unidad de Apoyo Administrativo</w:t>
      </w:r>
      <w:r w:rsidR="00FE464B">
        <w:rPr>
          <w:rFonts w:ascii="Gotham" w:hAnsi="Gotham" w:cs="Arial"/>
          <w:bCs/>
          <w:sz w:val="20"/>
          <w:szCs w:val="20"/>
        </w:rPr>
        <w:t xml:space="preserve"> y Servidora Pública Habilitada</w:t>
      </w:r>
      <w:r w:rsidR="00A17C1F">
        <w:rPr>
          <w:rFonts w:ascii="Gotham" w:hAnsi="Gotham" w:cs="Arial"/>
          <w:bCs/>
          <w:sz w:val="20"/>
          <w:szCs w:val="20"/>
        </w:rPr>
        <w:t xml:space="preserve">; </w:t>
      </w:r>
      <w:r w:rsidR="00A17C1F" w:rsidRPr="00927788">
        <w:rPr>
          <w:rFonts w:ascii="Gotham" w:hAnsi="Gotham" w:cs="Arial"/>
          <w:bCs/>
          <w:iCs/>
          <w:sz w:val="20"/>
          <w:szCs w:val="20"/>
        </w:rPr>
        <w:t>este</w:t>
      </w:r>
      <w:r w:rsidR="00A17C1F" w:rsidRPr="008C6070">
        <w:rPr>
          <w:rFonts w:ascii="Gotham" w:hAnsi="Gotham" w:cs="Arial"/>
          <w:bCs/>
          <w:iCs/>
          <w:sz w:val="20"/>
          <w:szCs w:val="20"/>
        </w:rPr>
        <w:t xml:space="preserve"> Sujeto Obligado proporciona la información en los términos siguientes:</w:t>
      </w:r>
    </w:p>
    <w:p w14:paraId="13BC8293" w14:textId="77777777" w:rsidR="00A17C1F" w:rsidRDefault="00A17C1F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Cs/>
          <w:sz w:val="20"/>
          <w:szCs w:val="20"/>
        </w:rPr>
      </w:pPr>
    </w:p>
    <w:p w14:paraId="1101706B" w14:textId="77777777" w:rsidR="00A17C1F" w:rsidRDefault="00A17C1F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  <w:r w:rsidRPr="008C6070">
        <w:rPr>
          <w:rFonts w:ascii="Gotham" w:hAnsi="Gotham" w:cs="Arial"/>
          <w:bCs/>
          <w:sz w:val="20"/>
          <w:szCs w:val="20"/>
        </w:rPr>
        <w:t xml:space="preserve">Al respecto, se hace de su conocimiento que este Sujeto Obligado </w:t>
      </w:r>
      <w:r w:rsidRPr="008C6070">
        <w:rPr>
          <w:rFonts w:ascii="Gotham" w:hAnsi="Gotham" w:cs="Arial"/>
          <w:sz w:val="20"/>
          <w:szCs w:val="20"/>
        </w:rPr>
        <w:t xml:space="preserve">sólo proporcionará la información pública </w:t>
      </w:r>
      <w:r w:rsidRPr="008C6070">
        <w:rPr>
          <w:rFonts w:ascii="Gotham" w:hAnsi="Gotham" w:cs="Arial"/>
          <w:b/>
          <w:bCs/>
          <w:sz w:val="20"/>
          <w:szCs w:val="20"/>
        </w:rPr>
        <w:t>que obre en sus archivos y en el estado en que ésta se encuentre</w:t>
      </w:r>
      <w:r w:rsidRPr="008C6070">
        <w:rPr>
          <w:rFonts w:ascii="Gotham" w:hAnsi="Gotham" w:cs="Arial"/>
          <w:bCs/>
          <w:sz w:val="20"/>
          <w:szCs w:val="20"/>
        </w:rPr>
        <w:t xml:space="preserve">, asimismo, </w:t>
      </w:r>
    </w:p>
    <w:p w14:paraId="7F42866B" w14:textId="77777777" w:rsidR="00A17C1F" w:rsidRPr="00902AA0" w:rsidRDefault="00A17C1F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  <w:r w:rsidRPr="008C6070">
        <w:rPr>
          <w:rFonts w:ascii="Gotham" w:hAnsi="Gotham" w:cs="Arial"/>
          <w:bCs/>
          <w:sz w:val="20"/>
          <w:szCs w:val="20"/>
        </w:rPr>
        <w:t>la obligación de proporcionar información no comprende el procesamiento de esta, ni el presentarla conforme al interés del solicitan</w:t>
      </w:r>
      <w:r>
        <w:rPr>
          <w:rFonts w:ascii="Gotham" w:hAnsi="Gotham" w:cs="Arial"/>
          <w:bCs/>
          <w:sz w:val="20"/>
          <w:szCs w:val="20"/>
        </w:rPr>
        <w:t xml:space="preserve">te o practicar investigaciones. Por lo tanto, ello puede tener como efectos que la información no se posea en los mismos términos que Usted la solicita. </w:t>
      </w:r>
    </w:p>
    <w:p w14:paraId="362BB700" w14:textId="77777777" w:rsidR="00A17C1F" w:rsidRDefault="00A17C1F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0"/>
          <w:szCs w:val="20"/>
        </w:rPr>
      </w:pPr>
    </w:p>
    <w:p w14:paraId="13589570" w14:textId="7162F6FC" w:rsidR="00B97864" w:rsidRDefault="00A17C1F" w:rsidP="00307702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0"/>
          <w:szCs w:val="20"/>
        </w:rPr>
      </w:pPr>
      <w:r w:rsidRPr="008C6070">
        <w:rPr>
          <w:rFonts w:ascii="Gotham" w:hAnsi="Gotham" w:cs="Arial"/>
          <w:bCs/>
          <w:sz w:val="20"/>
          <w:szCs w:val="20"/>
        </w:rPr>
        <w:t>Referent</w:t>
      </w:r>
      <w:r>
        <w:rPr>
          <w:rFonts w:ascii="Gotham" w:hAnsi="Gotham" w:cs="Arial"/>
          <w:bCs/>
          <w:sz w:val="20"/>
          <w:szCs w:val="20"/>
        </w:rPr>
        <w:t xml:space="preserve">e a la información </w:t>
      </w:r>
      <w:r>
        <w:rPr>
          <w:rFonts w:ascii="Gotham" w:hAnsi="Gotham"/>
          <w:bCs/>
          <w:iCs/>
          <w:sz w:val="20"/>
          <w:szCs w:val="20"/>
        </w:rPr>
        <w:t xml:space="preserve">que </w:t>
      </w:r>
      <w:r w:rsidR="00307702">
        <w:rPr>
          <w:rFonts w:ascii="Gotham" w:hAnsi="Gotham"/>
          <w:bCs/>
          <w:iCs/>
          <w:sz w:val="20"/>
          <w:szCs w:val="20"/>
        </w:rPr>
        <w:t>amablemente solicita</w:t>
      </w:r>
      <w:r>
        <w:rPr>
          <w:rFonts w:ascii="Gotham" w:hAnsi="Gotham"/>
          <w:bCs/>
          <w:iCs/>
          <w:sz w:val="20"/>
          <w:szCs w:val="20"/>
        </w:rPr>
        <w:t xml:space="preserve">, la Unidad de Apoyo Administrativo </w:t>
      </w:r>
      <w:r w:rsidR="00B97864">
        <w:rPr>
          <w:rFonts w:ascii="Gotham" w:hAnsi="Gotham"/>
          <w:bCs/>
          <w:iCs/>
          <w:sz w:val="20"/>
          <w:szCs w:val="20"/>
        </w:rPr>
        <w:t xml:space="preserve">refiere que el proceso de selección </w:t>
      </w:r>
      <w:r w:rsidR="00307702">
        <w:rPr>
          <w:rFonts w:ascii="Gotham" w:hAnsi="Gotham"/>
          <w:bCs/>
          <w:iCs/>
          <w:sz w:val="20"/>
          <w:szCs w:val="20"/>
        </w:rPr>
        <w:t>a</w:t>
      </w:r>
      <w:r w:rsidR="00B97864">
        <w:rPr>
          <w:rFonts w:ascii="Gotham" w:hAnsi="Gotham"/>
          <w:bCs/>
          <w:iCs/>
          <w:sz w:val="20"/>
          <w:szCs w:val="20"/>
        </w:rPr>
        <w:t xml:space="preserve"> nuevo ingreso es conforme a la dispo</w:t>
      </w:r>
      <w:r w:rsidR="00307702">
        <w:rPr>
          <w:rFonts w:ascii="Gotham" w:hAnsi="Gotham"/>
          <w:bCs/>
          <w:iCs/>
          <w:sz w:val="20"/>
          <w:szCs w:val="20"/>
        </w:rPr>
        <w:t>nibilidad</w:t>
      </w:r>
      <w:r w:rsidR="00B97864">
        <w:rPr>
          <w:rFonts w:ascii="Gotham" w:hAnsi="Gotham"/>
          <w:bCs/>
          <w:iCs/>
          <w:sz w:val="20"/>
          <w:szCs w:val="20"/>
        </w:rPr>
        <w:t xml:space="preserve"> de vacantes, experiencia y perfil académicos, los requisitos de los perfiles de puestos se pueden visualizar en la siguiente </w:t>
      </w:r>
      <w:r w:rsidR="00307702">
        <w:rPr>
          <w:rFonts w:ascii="Gotham" w:hAnsi="Gotham"/>
          <w:bCs/>
          <w:iCs/>
          <w:sz w:val="20"/>
          <w:szCs w:val="20"/>
        </w:rPr>
        <w:t>página electrónica</w:t>
      </w:r>
      <w:r w:rsidR="00B97864">
        <w:rPr>
          <w:rFonts w:ascii="Gotham" w:hAnsi="Gotham"/>
          <w:bCs/>
          <w:iCs/>
          <w:sz w:val="20"/>
          <w:szCs w:val="20"/>
        </w:rPr>
        <w:t xml:space="preserve">:  </w:t>
      </w:r>
    </w:p>
    <w:p w14:paraId="43840967" w14:textId="77777777" w:rsidR="00B97864" w:rsidRDefault="00B97864" w:rsidP="00307702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0"/>
          <w:szCs w:val="20"/>
        </w:rPr>
      </w:pPr>
    </w:p>
    <w:p w14:paraId="2C3CA7A5" w14:textId="4C492723" w:rsidR="00A17C1F" w:rsidRDefault="00021B27" w:rsidP="00307702">
      <w:pPr>
        <w:spacing w:after="0" w:line="240" w:lineRule="atLeast"/>
        <w:ind w:left="-284" w:right="-516"/>
        <w:jc w:val="both"/>
      </w:pPr>
      <w:hyperlink r:id="rId8" w:history="1">
        <w:r w:rsidRPr="001E74E9">
          <w:rPr>
            <w:rStyle w:val="Hipervnculo"/>
          </w:rPr>
          <w:t>https://finanzas.edomex.gob.mx/sites/finanzas.edomex.gob.mx/files/IPOMEX/Direccion-General-Personal/C%C3%A9dulas%20de%20Identificaci%C3%B3n%20de%20Puestos%20SF.zip</w:t>
        </w:r>
      </w:hyperlink>
    </w:p>
    <w:p w14:paraId="2798E75D" w14:textId="77777777" w:rsidR="00021B27" w:rsidRPr="00902AA0" w:rsidRDefault="00021B27" w:rsidP="00307702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sz w:val="20"/>
          <w:szCs w:val="20"/>
        </w:rPr>
      </w:pPr>
    </w:p>
    <w:p w14:paraId="527DCABC" w14:textId="77777777" w:rsidR="007C41EB" w:rsidRPr="00307702" w:rsidRDefault="007C41EB" w:rsidP="00307702">
      <w:pPr>
        <w:spacing w:after="0" w:line="240" w:lineRule="atLeast"/>
        <w:ind w:left="-284" w:right="-516"/>
        <w:jc w:val="both"/>
        <w:rPr>
          <w:rFonts w:ascii="Gotham" w:hAnsi="Gotham" w:cs="Arial"/>
          <w:bCs/>
          <w:iCs/>
          <w:sz w:val="20"/>
          <w:szCs w:val="20"/>
        </w:rPr>
      </w:pPr>
      <w:r w:rsidRPr="00307702">
        <w:rPr>
          <w:rFonts w:ascii="Gotham" w:hAnsi="Gotham" w:cs="Arial"/>
          <w:bCs/>
          <w:iCs/>
          <w:sz w:val="20"/>
          <w:szCs w:val="20"/>
        </w:rPr>
        <w:t xml:space="preserve">En espera de que la información brindada por este Sujeto Obligado le sea de utilidad, reciba un cordial saludo; por otra parte, y en caso de que lo requiera, se le informa del derecho con el que cuenta para promover el recurso de revisión, el cual se encuentra establecido en los artículos 178, 179 y 180 de la Ley de Transparencia y Acceso a la Información Pública del Estado de México y Municipios, y que contemplan el plazo de quince días hábiles siguientes a la fecha de la notificación de la respuesta, así como las causales de procedencia y los requisitos que debe contener. </w:t>
      </w:r>
    </w:p>
    <w:p w14:paraId="5F0C91E2" w14:textId="0A7DA449" w:rsidR="004E7022" w:rsidRPr="00021B27" w:rsidRDefault="004E7022" w:rsidP="00307702">
      <w:pPr>
        <w:spacing w:after="0" w:line="240" w:lineRule="atLeast"/>
        <w:ind w:left="-284"/>
        <w:rPr>
          <w:rFonts w:ascii="Gotham Bold" w:eastAsia="Times New Roman" w:hAnsi="Gotham Bold" w:cs="Times New Roman"/>
          <w:color w:val="000000" w:themeColor="text1"/>
          <w:sz w:val="20"/>
          <w:szCs w:val="20"/>
          <w:lang w:val="pt-PT"/>
        </w:rPr>
      </w:pPr>
      <w:r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  <w:lang w:val="pt-PT"/>
        </w:rPr>
        <w:t xml:space="preserve">A T E N T A M E N T E   </w:t>
      </w:r>
    </w:p>
    <w:p w14:paraId="6A194A1F" w14:textId="77777777" w:rsidR="00B12981" w:rsidRPr="00021B27" w:rsidRDefault="00B12981" w:rsidP="00307702">
      <w:pPr>
        <w:spacing w:after="0" w:line="240" w:lineRule="atLeast"/>
        <w:ind w:left="-284"/>
        <w:rPr>
          <w:rFonts w:ascii="Gotham Bold" w:eastAsia="Times New Roman" w:hAnsi="Gotham Bold" w:cs="Times New Roman"/>
          <w:color w:val="000000" w:themeColor="text1"/>
          <w:sz w:val="20"/>
          <w:szCs w:val="20"/>
          <w:lang w:val="pt-PT"/>
        </w:rPr>
      </w:pPr>
    </w:p>
    <w:p w14:paraId="0045864A" w14:textId="770A9C35" w:rsidR="004E7022" w:rsidRPr="00021B27" w:rsidRDefault="00F94DDE" w:rsidP="00307702">
      <w:pPr>
        <w:spacing w:after="0" w:line="240" w:lineRule="atLeast"/>
        <w:ind w:left="-284"/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</w:pPr>
      <w:r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 xml:space="preserve">BRIANDA CHANTAL ESTRADA RODRÍGUEZ </w:t>
      </w:r>
    </w:p>
    <w:p w14:paraId="4D243135" w14:textId="5DDF48B9" w:rsidR="00B12981" w:rsidRPr="00021B27" w:rsidRDefault="00F94DDE" w:rsidP="00307702">
      <w:pPr>
        <w:spacing w:after="0" w:line="240" w:lineRule="atLeast"/>
        <w:ind w:left="-284"/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</w:pPr>
      <w:r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 xml:space="preserve">TITULAR DE LA UNIDAD DE TRANSPARENCIA DEL </w:t>
      </w:r>
      <w:r w:rsidR="00C3579E"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 xml:space="preserve">SECRETARIADO </w:t>
      </w:r>
    </w:p>
    <w:p w14:paraId="59F5C802" w14:textId="01E04399" w:rsidR="00C3579E" w:rsidRPr="00021B27" w:rsidRDefault="00B97864" w:rsidP="00307702">
      <w:pPr>
        <w:spacing w:after="0" w:line="240" w:lineRule="atLeast"/>
        <w:ind w:left="-284"/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</w:pPr>
      <w:r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>EJECUTIVO DEL SISTEMA</w:t>
      </w:r>
      <w:r w:rsidR="00C3579E"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 xml:space="preserve"> ESTA</w:t>
      </w:r>
      <w:r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>TAL</w:t>
      </w:r>
      <w:r w:rsidR="00C3579E" w:rsidRPr="00021B27">
        <w:rPr>
          <w:rFonts w:ascii="Gotham Bold" w:eastAsia="Times New Roman" w:hAnsi="Gotham Bold" w:cs="Times New Roman"/>
          <w:b/>
          <w:bCs/>
          <w:color w:val="000000" w:themeColor="text1"/>
          <w:sz w:val="20"/>
          <w:szCs w:val="20"/>
        </w:rPr>
        <w:t xml:space="preserve"> DE SEGURIDAD PÚBLICA </w:t>
      </w:r>
    </w:p>
    <w:p w14:paraId="029DE40F" w14:textId="06D7526D" w:rsidR="00B12981" w:rsidRDefault="00B12981" w:rsidP="00307702">
      <w:pPr>
        <w:spacing w:after="0" w:line="240" w:lineRule="auto"/>
        <w:ind w:left="-284"/>
        <w:rPr>
          <w:rFonts w:ascii="Gotham" w:eastAsia="Times New Roman" w:hAnsi="Gotham" w:cs="Times New Roman"/>
          <w:b/>
          <w:bCs/>
          <w:color w:val="000000" w:themeColor="text1"/>
          <w:sz w:val="12"/>
          <w:szCs w:val="12"/>
        </w:rPr>
      </w:pPr>
      <w:r>
        <w:rPr>
          <w:rFonts w:ascii="Gotham" w:eastAsia="Times New Roman" w:hAnsi="Gotham" w:cs="Times New Roman"/>
          <w:b/>
          <w:bCs/>
          <w:color w:val="000000" w:themeColor="text1"/>
          <w:sz w:val="12"/>
          <w:szCs w:val="12"/>
        </w:rPr>
        <w:t>Elaboró: KBJM</w:t>
      </w:r>
    </w:p>
    <w:p w14:paraId="13B3607A" w14:textId="6564561D" w:rsidR="00FB26DE" w:rsidRPr="00FB26DE" w:rsidRDefault="00B12981" w:rsidP="00307702">
      <w:pPr>
        <w:spacing w:after="0" w:line="240" w:lineRule="auto"/>
        <w:ind w:left="-284"/>
      </w:pPr>
      <w:r>
        <w:rPr>
          <w:rFonts w:ascii="Gotham" w:eastAsia="Times New Roman" w:hAnsi="Gotham" w:cs="Times New Roman"/>
          <w:b/>
          <w:bCs/>
          <w:color w:val="000000" w:themeColor="text1"/>
          <w:sz w:val="12"/>
          <w:szCs w:val="12"/>
        </w:rPr>
        <w:t xml:space="preserve">Revisó: ALCM </w:t>
      </w:r>
    </w:p>
    <w:sectPr w:rsidR="00FB26DE" w:rsidRPr="00FB26DE" w:rsidSect="00021B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19"/>
      <w:pgMar w:top="1417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86B49" w14:textId="77777777" w:rsidR="00690E7B" w:rsidRDefault="00690E7B" w:rsidP="00BA7858">
      <w:pPr>
        <w:spacing w:after="0" w:line="240" w:lineRule="auto"/>
      </w:pPr>
      <w:r>
        <w:separator/>
      </w:r>
    </w:p>
  </w:endnote>
  <w:endnote w:type="continuationSeparator" w:id="0">
    <w:p w14:paraId="65BC10B4" w14:textId="77777777" w:rsidR="00690E7B" w:rsidRDefault="00690E7B" w:rsidP="00BA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048F" w14:textId="77777777" w:rsidR="00964BC7" w:rsidRDefault="00964B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36BB2" w14:textId="20AFAA3B" w:rsidR="00BA7858" w:rsidRPr="00FB26DE" w:rsidRDefault="00BA7858" w:rsidP="00FB26DE">
    <w:pPr>
      <w:pStyle w:val="Sinespaciado"/>
      <w:jc w:val="center"/>
      <w:rPr>
        <w:rFonts w:ascii="Gotham" w:hAnsi="Gotham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477C" w14:textId="77777777" w:rsidR="00964BC7" w:rsidRDefault="00964B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0E6EB" w14:textId="77777777" w:rsidR="00690E7B" w:rsidRDefault="00690E7B" w:rsidP="00BA7858">
      <w:pPr>
        <w:spacing w:after="0" w:line="240" w:lineRule="auto"/>
      </w:pPr>
      <w:r>
        <w:separator/>
      </w:r>
    </w:p>
  </w:footnote>
  <w:footnote w:type="continuationSeparator" w:id="0">
    <w:p w14:paraId="4DD4542D" w14:textId="77777777" w:rsidR="00690E7B" w:rsidRDefault="00690E7B" w:rsidP="00BA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B1AB" w14:textId="77777777" w:rsidR="00964BC7" w:rsidRDefault="00964B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98ED6" w14:textId="60E556F4" w:rsidR="00BA7858" w:rsidRDefault="00000000">
    <w:pPr>
      <w:pStyle w:val="Encabezado"/>
    </w:pPr>
    <w:sdt>
      <w:sdtPr>
        <w:id w:val="-1747710315"/>
        <w:docPartObj>
          <w:docPartGallery w:val="Page Numbers (Margins)"/>
          <w:docPartUnique/>
        </w:docPartObj>
      </w:sdtPr>
      <w:sdtContent>
        <w:r w:rsidR="007E573F">
          <w:rPr>
            <w:noProof/>
            <w:lang w:eastAsia="es-MX"/>
          </w:rPr>
          <mc:AlternateContent>
            <mc:Choice Requires="wps">
              <w:drawing>
                <wp:anchor distT="0" distB="0" distL="114300" distR="114300" simplePos="0" relativeHeight="251672576" behindDoc="0" locked="0" layoutInCell="0" allowOverlap="1" wp14:anchorId="53B4DFF5" wp14:editId="372E1CB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ctángu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0ABF8" w14:textId="119089E1" w:rsidR="007E573F" w:rsidRDefault="007E573F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235CA" w:rsidRPr="00B235C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  <w:lang w:val="es-ES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B4DFF5" id="Rectángulo 9" o:spid="_x0000_s1026" style="position:absolute;margin-left:0;margin-top:0;width:40.2pt;height:171.9pt;z-index:2516725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+otB6roCAAC3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D00ABF8" w14:textId="119089E1" w:rsidR="007E573F" w:rsidRDefault="007E573F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235CA" w:rsidRPr="00B235C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  <w:lang w:val="es-ES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00E46" w14:textId="77777777" w:rsidR="00964BC7" w:rsidRDefault="00964B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C128C"/>
    <w:multiLevelType w:val="hybridMultilevel"/>
    <w:tmpl w:val="AC90A792"/>
    <w:lvl w:ilvl="0" w:tplc="7644B1A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78774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858"/>
    <w:rsid w:val="00021B27"/>
    <w:rsid w:val="00072B90"/>
    <w:rsid w:val="000762F9"/>
    <w:rsid w:val="000D11B1"/>
    <w:rsid w:val="00105AC9"/>
    <w:rsid w:val="001433B3"/>
    <w:rsid w:val="00144F66"/>
    <w:rsid w:val="00145BD0"/>
    <w:rsid w:val="001471AA"/>
    <w:rsid w:val="00173BDA"/>
    <w:rsid w:val="001E747E"/>
    <w:rsid w:val="001E7634"/>
    <w:rsid w:val="002113C7"/>
    <w:rsid w:val="002127C4"/>
    <w:rsid w:val="00222E66"/>
    <w:rsid w:val="002517CD"/>
    <w:rsid w:val="002A3FC3"/>
    <w:rsid w:val="002A6BEE"/>
    <w:rsid w:val="002C46CA"/>
    <w:rsid w:val="00307702"/>
    <w:rsid w:val="003330CD"/>
    <w:rsid w:val="00371553"/>
    <w:rsid w:val="00380883"/>
    <w:rsid w:val="00454EF5"/>
    <w:rsid w:val="00473382"/>
    <w:rsid w:val="00477E7F"/>
    <w:rsid w:val="004B22F6"/>
    <w:rsid w:val="004D2025"/>
    <w:rsid w:val="004E7022"/>
    <w:rsid w:val="00523468"/>
    <w:rsid w:val="00533E68"/>
    <w:rsid w:val="0057631A"/>
    <w:rsid w:val="00584225"/>
    <w:rsid w:val="005865FA"/>
    <w:rsid w:val="0059018C"/>
    <w:rsid w:val="0067576E"/>
    <w:rsid w:val="00690E7B"/>
    <w:rsid w:val="00693C8B"/>
    <w:rsid w:val="007925DA"/>
    <w:rsid w:val="007A5B7D"/>
    <w:rsid w:val="007C41EB"/>
    <w:rsid w:val="007C70EA"/>
    <w:rsid w:val="007D3C4B"/>
    <w:rsid w:val="007E573F"/>
    <w:rsid w:val="008076C4"/>
    <w:rsid w:val="00836FE0"/>
    <w:rsid w:val="008C0BA5"/>
    <w:rsid w:val="008E3283"/>
    <w:rsid w:val="009457EF"/>
    <w:rsid w:val="00964BC7"/>
    <w:rsid w:val="0098678C"/>
    <w:rsid w:val="0099320F"/>
    <w:rsid w:val="009C2AA8"/>
    <w:rsid w:val="00A17C1F"/>
    <w:rsid w:val="00A44569"/>
    <w:rsid w:val="00A53916"/>
    <w:rsid w:val="00A54924"/>
    <w:rsid w:val="00A5556A"/>
    <w:rsid w:val="00AB5BE2"/>
    <w:rsid w:val="00AD5457"/>
    <w:rsid w:val="00AE5229"/>
    <w:rsid w:val="00B03115"/>
    <w:rsid w:val="00B12981"/>
    <w:rsid w:val="00B235CA"/>
    <w:rsid w:val="00B31E35"/>
    <w:rsid w:val="00B3288F"/>
    <w:rsid w:val="00B56B85"/>
    <w:rsid w:val="00B632E3"/>
    <w:rsid w:val="00B97864"/>
    <w:rsid w:val="00B97B36"/>
    <w:rsid w:val="00BA7641"/>
    <w:rsid w:val="00BA7858"/>
    <w:rsid w:val="00BD4D43"/>
    <w:rsid w:val="00BF6749"/>
    <w:rsid w:val="00BF75D1"/>
    <w:rsid w:val="00C14D8F"/>
    <w:rsid w:val="00C3579E"/>
    <w:rsid w:val="00C62EC2"/>
    <w:rsid w:val="00C872A5"/>
    <w:rsid w:val="00CA7D78"/>
    <w:rsid w:val="00CE196F"/>
    <w:rsid w:val="00CE50D3"/>
    <w:rsid w:val="00CF6AE0"/>
    <w:rsid w:val="00D269BF"/>
    <w:rsid w:val="00D339C0"/>
    <w:rsid w:val="00D8598E"/>
    <w:rsid w:val="00DF7F08"/>
    <w:rsid w:val="00E8662E"/>
    <w:rsid w:val="00EA4D72"/>
    <w:rsid w:val="00EB5F01"/>
    <w:rsid w:val="00EF7647"/>
    <w:rsid w:val="00F16F3C"/>
    <w:rsid w:val="00F17AFD"/>
    <w:rsid w:val="00F533FC"/>
    <w:rsid w:val="00F9237D"/>
    <w:rsid w:val="00F94DDE"/>
    <w:rsid w:val="00FB26DE"/>
    <w:rsid w:val="00FB795E"/>
    <w:rsid w:val="00FE16D0"/>
    <w:rsid w:val="00F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51704C"/>
  <w15:chartTrackingRefBased/>
  <w15:docId w15:val="{47564A9A-A7E5-41BA-B82A-F11FB41C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78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858"/>
  </w:style>
  <w:style w:type="paragraph" w:styleId="Piedepgina">
    <w:name w:val="footer"/>
    <w:basedOn w:val="Normal"/>
    <w:link w:val="PiedepginaCar"/>
    <w:uiPriority w:val="99"/>
    <w:unhideWhenUsed/>
    <w:rsid w:val="00BA78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858"/>
  </w:style>
  <w:style w:type="paragraph" w:styleId="Sinespaciado">
    <w:name w:val="No Spacing"/>
    <w:uiPriority w:val="1"/>
    <w:qFormat/>
    <w:rsid w:val="00BA785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F76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647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5865FA"/>
    <w:pPr>
      <w:ind w:left="720"/>
      <w:contextualSpacing/>
    </w:pPr>
  </w:style>
  <w:style w:type="character" w:styleId="Nmerodepgina">
    <w:name w:val="page number"/>
    <w:basedOn w:val="Fuentedeprrafopredeter"/>
    <w:uiPriority w:val="99"/>
    <w:unhideWhenUsed/>
    <w:rsid w:val="00D269BF"/>
  </w:style>
  <w:style w:type="character" w:styleId="Hipervnculo">
    <w:name w:val="Hyperlink"/>
    <w:basedOn w:val="Fuentedeprrafopredeter"/>
    <w:uiPriority w:val="99"/>
    <w:unhideWhenUsed/>
    <w:rsid w:val="00B97864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235CA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1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anzas.edomex.gob.mx/sites/finanzas.edomex.gob.mx/files/IPOMEX/Direccion-General-Personal/C%C3%A9dulas%20de%20Identificaci%C3%B3n%20de%20Puestos%20SF.zi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606B21-7EC1-4FE1-84CA-7C47D6E8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931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Estrada</dc:creator>
  <cp:keywords/>
  <dc:description/>
  <cp:lastModifiedBy>ALMA LUZ CRUZ MATEO</cp:lastModifiedBy>
  <cp:revision>9</cp:revision>
  <cp:lastPrinted>2025-03-24T22:18:00Z</cp:lastPrinted>
  <dcterms:created xsi:type="dcterms:W3CDTF">2025-03-21T19:19:00Z</dcterms:created>
  <dcterms:modified xsi:type="dcterms:W3CDTF">2025-03-24T22:35:00Z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abaa509336ef70f5ac7ae7aee729e83f14d0b48dd338416b2cfe65c8dcecd012</vt:lpwstr>
  </property>
</Properties>
</file>